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6"/>
        <w:tblW w:w="1006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89"/>
        <w:gridCol w:w="737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89" w:type="dxa"/>
          </w:tcPr>
          <w:p>
            <w:pPr>
              <w:pStyle w:val="32"/>
            </w:pPr>
            <w:r>
              <w:drawing>
                <wp:inline distT="0" distB="0" distL="0" distR="0">
                  <wp:extent cx="1534795" cy="723265"/>
                  <wp:effectExtent l="0" t="0" r="8255" b="635"/>
                  <wp:docPr id="5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4795" cy="723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76" w:type="dxa"/>
          </w:tcPr>
          <w:p>
            <w:pPr>
              <w:autoSpaceDE w:val="0"/>
              <w:autoSpaceDN w:val="0"/>
              <w:adjustRightInd w:val="0"/>
              <w:spacing w:line="276" w:lineRule="auto"/>
              <w:ind w:lef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МИНОБРНАУКИ РОССИИ</w:t>
            </w:r>
          </w:p>
          <w:p>
            <w:pPr>
              <w:autoSpaceDE w:val="0"/>
              <w:autoSpaceDN w:val="0"/>
              <w:adjustRightInd w:val="0"/>
              <w:spacing w:line="276" w:lineRule="auto"/>
              <w:ind w:lef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федеральное государственное бюджетное образовательное учреждение </w:t>
            </w:r>
          </w:p>
          <w:p>
            <w:pPr>
              <w:autoSpaceDE w:val="0"/>
              <w:autoSpaceDN w:val="0"/>
              <w:adjustRightInd w:val="0"/>
              <w:spacing w:line="276" w:lineRule="auto"/>
              <w:ind w:lef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высшего образования</w:t>
            </w:r>
          </w:p>
          <w:p>
            <w:pPr>
              <w:autoSpaceDE w:val="0"/>
              <w:autoSpaceDN w:val="0"/>
              <w:adjustRightInd w:val="0"/>
              <w:spacing w:line="276" w:lineRule="auto"/>
              <w:ind w:left="-108" w:right="3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«Самарский государственный технический университет»</w:t>
            </w:r>
          </w:p>
          <w:p>
            <w:pPr>
              <w:pStyle w:val="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(ФГБОУ ВО «СамГТУ»)</w:t>
            </w:r>
          </w:p>
        </w:tc>
      </w:tr>
    </w:tbl>
    <w:p>
      <w:pPr>
        <w:pStyle w:val="3"/>
        <w:spacing w:before="240" w:line="100" w:lineRule="atLeast"/>
        <w:ind w:left="578" w:hanging="578"/>
        <w:rPr>
          <w:rFonts w:ascii="Arial" w:hAnsi="Arial" w:cs="Arial"/>
        </w:rPr>
      </w:pPr>
      <w:r>
        <w:rPr>
          <w:rFonts w:ascii="Arial" w:hAnsi="Arial" w:cs="Arial"/>
          <w:i w:val="0"/>
          <w:spacing w:val="110"/>
          <w:lang w:val="ru-RU"/>
        </w:rPr>
        <w:t xml:space="preserve">ПРИКАЗ </w:t>
      </w:r>
    </w:p>
    <w:p>
      <w:pPr>
        <w:spacing w:line="100" w:lineRule="atLeast"/>
        <w:ind w:left="576" w:hanging="576"/>
        <w:rPr>
          <w:rFonts w:ascii="Arial" w:hAnsi="Arial" w:cs="Arial"/>
          <w:lang w:val="en-US"/>
        </w:rPr>
      </w:pPr>
    </w:p>
    <w:p>
      <w:pPr>
        <w:tabs>
          <w:tab w:val="right" w:pos="10206"/>
        </w:tabs>
        <w:rPr>
          <w:rFonts w:hint="default" w:ascii="Arial" w:hAnsi="Arial" w:cs="Arial"/>
          <w:szCs w:val="24"/>
          <w:lang w:val="en-US"/>
        </w:rPr>
      </w:pPr>
      <w:r>
        <w:rPr>
          <w:rFonts w:ascii="Arial" w:hAnsi="Arial" w:cs="Arial"/>
          <w:szCs w:val="24"/>
        </w:rPr>
        <w:t>«_</w:t>
      </w:r>
      <w:r>
        <w:rPr>
          <w:rFonts w:hint="default" w:ascii="Arial" w:hAnsi="Arial" w:cs="Arial"/>
          <w:szCs w:val="24"/>
          <w:u w:val="single"/>
          <w:lang w:val="ru-RU"/>
        </w:rPr>
        <w:t>07</w:t>
      </w:r>
      <w:r>
        <w:rPr>
          <w:rFonts w:ascii="Arial" w:hAnsi="Arial" w:cs="Arial"/>
          <w:szCs w:val="24"/>
        </w:rPr>
        <w:t>_»____</w:t>
      </w:r>
      <w:r>
        <w:rPr>
          <w:rFonts w:hint="default" w:ascii="Arial" w:hAnsi="Arial" w:cs="Arial"/>
          <w:szCs w:val="24"/>
          <w:u w:val="single"/>
          <w:lang w:val="ru-RU"/>
        </w:rPr>
        <w:t>07</w:t>
      </w:r>
      <w:r>
        <w:rPr>
          <w:rFonts w:ascii="Arial" w:hAnsi="Arial" w:cs="Arial"/>
          <w:szCs w:val="24"/>
        </w:rPr>
        <w:t>____20</w:t>
      </w:r>
      <w:r>
        <w:rPr>
          <w:rFonts w:hint="default" w:ascii="Arial" w:hAnsi="Arial" w:cs="Arial"/>
          <w:szCs w:val="24"/>
          <w:u w:val="single"/>
          <w:lang w:val="ru-RU"/>
        </w:rPr>
        <w:t>23</w:t>
      </w:r>
      <w:r>
        <w:rPr>
          <w:rFonts w:ascii="Arial" w:hAnsi="Arial" w:cs="Arial"/>
          <w:szCs w:val="24"/>
        </w:rPr>
        <w:t xml:space="preserve"> г.</w:t>
      </w:r>
      <w:r>
        <w:rPr>
          <w:rFonts w:hint="default" w:ascii="Arial" w:hAnsi="Arial" w:cs="Arial"/>
          <w:szCs w:val="24"/>
          <w:lang w:val="en-US"/>
        </w:rPr>
        <w:t xml:space="preserve">                                                                                            </w:t>
      </w:r>
      <w:bookmarkStart w:id="0" w:name="_GoBack"/>
      <w:bookmarkEnd w:id="0"/>
      <w:r>
        <w:rPr>
          <w:rFonts w:ascii="Arial" w:hAnsi="Arial" w:cs="Arial"/>
          <w:szCs w:val="24"/>
        </w:rPr>
        <w:t>№</w:t>
      </w:r>
      <w:r>
        <w:rPr>
          <w:rFonts w:hint="default" w:ascii="Arial" w:hAnsi="Arial" w:cs="Arial"/>
          <w:szCs w:val="24"/>
          <w:u w:val="single"/>
          <w:lang w:val="en-US"/>
        </w:rPr>
        <w:t>1/464</w:t>
      </w:r>
    </w:p>
    <w:p>
      <w:pPr>
        <w:spacing w:line="100" w:lineRule="atLeast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г. Самара</w:t>
      </w:r>
    </w:p>
    <w:p>
      <w:pPr>
        <w:rPr>
          <w:rFonts w:ascii="Arial" w:hAnsi="Arial" w:cs="Arial"/>
          <w:szCs w:val="24"/>
        </w:rPr>
      </w:pPr>
    </w:p>
    <w:p>
      <w:pPr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 xml:space="preserve">о заключении о наличии (отсутствии) в материалах служебной </w:t>
      </w:r>
    </w:p>
    <w:p>
      <w:pPr>
        <w:rPr>
          <w:rFonts w:hint="default" w:ascii="Arial" w:hAnsi="Arial" w:cs="Arial"/>
          <w:b/>
          <w:bCs/>
          <w:sz w:val="20"/>
          <w:lang w:val="ru-RU"/>
        </w:rPr>
      </w:pPr>
      <w:r>
        <w:rPr>
          <w:rFonts w:ascii="Arial" w:hAnsi="Arial" w:cs="Arial"/>
          <w:b/>
          <w:bCs/>
          <w:sz w:val="20"/>
        </w:rPr>
        <w:t>информации ограниченного распространения, не составляющей государственн</w:t>
      </w:r>
      <w:r>
        <w:rPr>
          <w:rFonts w:hint="default" w:ascii="Arial" w:hAnsi="Arial" w:cs="Arial"/>
          <w:b/>
          <w:bCs/>
          <w:sz w:val="20"/>
          <w:lang w:val="ru-RU"/>
        </w:rPr>
        <w:t>ую</w:t>
      </w:r>
      <w:r>
        <w:rPr>
          <w:rFonts w:ascii="Arial" w:hAnsi="Arial" w:cs="Arial"/>
          <w:b/>
          <w:bCs/>
          <w:sz w:val="20"/>
        </w:rPr>
        <w:t xml:space="preserve"> тайн</w:t>
      </w:r>
      <w:r>
        <w:rPr>
          <w:rFonts w:ascii="Arial" w:hAnsi="Arial" w:cs="Arial"/>
          <w:b/>
          <w:bCs/>
          <w:sz w:val="20"/>
          <w:lang w:val="ru-RU"/>
        </w:rPr>
        <w:t>у</w:t>
      </w:r>
    </w:p>
    <w:p>
      <w:pPr>
        <w:rPr>
          <w:rFonts w:ascii="Arial" w:hAnsi="Arial" w:cs="Arial"/>
          <w:b/>
          <w:szCs w:val="24"/>
        </w:rPr>
      </w:pPr>
    </w:p>
    <w:p>
      <w:pPr>
        <w:spacing w:line="264" w:lineRule="auto"/>
        <w:ind w:firstLine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В соответствии с Федеральным законом  "Об информации, информационных технологиях и о защите информации" от 27.07.2006 N 149-ФЗ, Постановлением Правительства РФ от 3 ноября 1994 г. N 1233 "Об утверждении Положения  о порядке обращения со служебной информацией ограниченного распространения в федеральных органах исполнительной власти, уполномоченном органе управления использованием атомной энергии и уполномоченном органе по космической деятельности", Положением о конфиденциальной информации ФГБОУ ВО «СамГТУ» (Положение №П-844 от 21.03.2023 г.), Инструкцией о порядке обращения со служебной информацией ограниченного распространения в ФГБОУ ВО «СамГТУ» (Инструкция №И-02.19/7 от 15.03.2023 г.) </w:t>
      </w:r>
    </w:p>
    <w:p>
      <w:pPr>
        <w:jc w:val="both"/>
        <w:rPr>
          <w:rFonts w:ascii="Arial" w:hAnsi="Arial" w:cs="Arial"/>
          <w:szCs w:val="24"/>
        </w:rPr>
      </w:pPr>
    </w:p>
    <w:p>
      <w:pPr>
        <w:jc w:val="both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ПРИКАЗЫВАЮ:</w:t>
      </w:r>
    </w:p>
    <w:p>
      <w:pPr>
        <w:jc w:val="both"/>
        <w:rPr>
          <w:rFonts w:ascii="Arial" w:hAnsi="Arial" w:cs="Arial"/>
          <w:szCs w:val="24"/>
        </w:rPr>
      </w:pPr>
    </w:p>
    <w:p>
      <w:pPr>
        <w:numPr>
          <w:ilvl w:val="0"/>
          <w:numId w:val="2"/>
        </w:numPr>
        <w:ind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Утвердить</w:t>
      </w:r>
      <w:r>
        <w:rPr>
          <w:rFonts w:hint="default" w:ascii="Arial" w:hAnsi="Arial" w:cs="Arial"/>
          <w:sz w:val="22"/>
          <w:szCs w:val="22"/>
          <w:lang w:val="ru-RU"/>
        </w:rPr>
        <w:t xml:space="preserve"> форму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>заключени</w:t>
      </w:r>
      <w:r>
        <w:rPr>
          <w:rFonts w:ascii="Arial" w:hAnsi="Arial" w:cs="Arial"/>
          <w:bCs/>
          <w:sz w:val="22"/>
          <w:szCs w:val="22"/>
          <w:lang w:val="ru-RU"/>
        </w:rPr>
        <w:t>я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о наличии (отсутствии) в материалах служебной информации ограниченного распространения, не составляющей государственную тайну (приложение 1 к настоящему приказу) (далее - заключение).</w:t>
      </w:r>
    </w:p>
    <w:p>
      <w:pPr>
        <w:numPr>
          <w:ilvl w:val="0"/>
          <w:numId w:val="2"/>
        </w:numPr>
        <w:ind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Оформлять заключения в обязательном порядке в случаях, предусмотренных Инструкцией о порядке обращения со служебной информацией ограниченного распространения в ФГБОУ ВО «СамГТУ» (Инструкция №И-02.19/7 от 15.03.2023 г.).</w:t>
      </w:r>
    </w:p>
    <w:p>
      <w:pPr>
        <w:numPr>
          <w:ilvl w:val="0"/>
          <w:numId w:val="2"/>
        </w:numPr>
        <w:ind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Заключение оформлять не менее чем в одном экземпляре, печатать на одном листе с двух сторон.</w:t>
      </w:r>
    </w:p>
    <w:p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Один экземпляр хранить в структурном подразделении - инициаторе (академии, </w:t>
      </w:r>
      <w:r>
        <w:rPr>
          <w:rFonts w:ascii="Arial" w:hAnsi="Arial" w:cs="Arial"/>
          <w:sz w:val="22"/>
          <w:szCs w:val="22"/>
          <w:lang w:eastAsia="zh-CN" w:bidi="ar"/>
        </w:rPr>
        <w:t xml:space="preserve">институте, факультете, высшей </w:t>
      </w:r>
      <w:r>
        <w:rPr>
          <w:rFonts w:ascii="Arial" w:hAnsi="Arial" w:cs="Arial"/>
          <w:sz w:val="22"/>
          <w:szCs w:val="22"/>
        </w:rPr>
        <w:t>биотехнологической</w:t>
      </w:r>
      <w:r>
        <w:rPr>
          <w:rFonts w:ascii="Arial" w:hAnsi="Arial" w:cs="Arial"/>
          <w:sz w:val="22"/>
          <w:szCs w:val="22"/>
          <w:lang w:eastAsia="zh-CN" w:bidi="ar"/>
        </w:rPr>
        <w:t xml:space="preserve"> школе, учебном центре, управлении; отделе, службе, центре и подразделении СамГТУ, которые являются самостоятельными или не входящими в другие структурные подразделения</w:t>
      </w:r>
      <w:r>
        <w:rPr>
          <w:rFonts w:ascii="Arial" w:hAnsi="Arial" w:cs="Arial"/>
          <w:sz w:val="22"/>
          <w:szCs w:val="22"/>
        </w:rPr>
        <w:t>) (далее - структурное подразделение) в течение пяти лет, следующих за годом подписания заключения, совместно с заверенной в установленном порядке копией экспертного заключения об отсутствии сведений, составляющих государственную тайну, в рассматриваемых материалах и самих рассматриваемых материалах (прошиваются, заверяются авторами/руководителем структурного подразделения, руководителем - экспертом). При необходимости оформлять дополнительные экземпляры, например, для передачи авторам.</w:t>
      </w:r>
    </w:p>
    <w:p>
      <w:pPr>
        <w:numPr>
          <w:ilvl w:val="0"/>
          <w:numId w:val="2"/>
        </w:numPr>
        <w:ind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Не включать в заключения служебные сведения ограниченного распространения, не ставить пометку «Для служебного доступа» на нем.    </w:t>
      </w:r>
    </w:p>
    <w:p>
      <w:pPr>
        <w:numPr>
          <w:ilvl w:val="0"/>
          <w:numId w:val="2"/>
        </w:numPr>
        <w:ind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Не осуществлять экспертизу на наличие (отсутствие) в материалах служебной информации ограниченного распространения посредством информационных сетей, т.е. материалы для экспертизы передавать экспертам с соблюдением требований Инструкции о порядке обращения со служебной информацией ограниченного распространения в ФГБОУ ВО «СамГТУ» (Инструкция №И-02.19/7 от 15.03.2023 г.) на бумажных носителях. Само заключение допускается оформлять с использованием информационных систем, средств вычислительной техники, поскольку согласно п.4 настоящего приказа в нем не содержатся служебные сведения ограниченного распространения.</w:t>
      </w:r>
    </w:p>
    <w:p>
      <w:pPr>
        <w:numPr>
          <w:ilvl w:val="0"/>
          <w:numId w:val="2"/>
        </w:numPr>
        <w:ind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Возложить на экспертов (руководителя - эксперта) комиссии, созданных </w:t>
      </w:r>
      <w:r>
        <w:rPr>
          <w:rFonts w:ascii="Arial" w:hAnsi="Arial" w:eastAsia="SimSun" w:cs="Arial"/>
          <w:sz w:val="22"/>
          <w:szCs w:val="22"/>
        </w:rPr>
        <w:t>для осуществления экспертизы материалов о наличии (отсутствии) сведений, составляющих государственную тайну, предназначенных к открытому опубликованию и изданию в категории «Для служебного пользования», материалов для патентования, экспертизе основных образовательных программ высшего образования - программ бакалавриата, программ магистратуры, программ специалитета, экспертизе основных образовательных программ аспирантуры и получения заключений по рассмотренным заявкам:</w:t>
      </w:r>
    </w:p>
    <w:p>
      <w:pPr>
        <w:numPr>
          <w:ilvl w:val="1"/>
          <w:numId w:val="2"/>
        </w:numPr>
        <w:ind w:left="0"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eastAsia="SimSun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персональную ответственность за обоснованность (достоверность) предложений по отнесению материалов к служебным сведениям ограниченного распространения; </w:t>
      </w:r>
    </w:p>
    <w:p>
      <w:pPr>
        <w:numPr>
          <w:ilvl w:val="1"/>
          <w:numId w:val="2"/>
        </w:numPr>
        <w:ind w:left="0"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персональную ответственность за разглашение сведений, указанных в рассматриваемых материалах, в том числе служебной информации ограниченного распространения; </w:t>
      </w:r>
    </w:p>
    <w:p>
      <w:pPr>
        <w:numPr>
          <w:ilvl w:val="1"/>
          <w:numId w:val="2"/>
        </w:numPr>
        <w:ind w:left="0"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персональную ответственность за соблюдение требований Положения о конфиденциальной информации ФГБОУ ВО «СамГТУ» (Положение №П-844 от 21.03.2023 г.), Инструкции о порядке обращения со служебной информацией ограниченного распространения в ФГБОУ ВО «СамГТУ» (Инструкция №И-02.19/7 от 15.03.2023 г.);</w:t>
      </w:r>
    </w:p>
    <w:p>
      <w:pPr>
        <w:numPr>
          <w:ilvl w:val="1"/>
          <w:numId w:val="2"/>
        </w:numPr>
        <w:ind w:left="0"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обязанность по подписанию заключения всеми экспертами (руководителем - экспертом), участвующими в проведении экспертизы.</w:t>
      </w:r>
    </w:p>
    <w:p>
      <w:pPr>
        <w:numPr>
          <w:ilvl w:val="0"/>
          <w:numId w:val="2"/>
        </w:numPr>
        <w:ind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Утверждать заключения только должностными лицами СамГТУ, указанными в п. 2.4. Инструкции о порядке обращения со служебной информацией ограниченного распространения в ФГБОУ ВО «СамГТУ». После утверждения заключений скреплять их гербовой печатью. </w:t>
      </w:r>
    </w:p>
    <w:p>
      <w:pPr>
        <w:numPr>
          <w:ilvl w:val="0"/>
          <w:numId w:val="2"/>
        </w:numPr>
        <w:ind w:firstLine="72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Экспертам вносить предложение об отнесении рассматриваемых материалов к служебной информации ограниченного распространения только в случае, если выполняются </w:t>
      </w:r>
      <w:r>
        <w:rPr>
          <w:rFonts w:ascii="Arial" w:hAnsi="Arial" w:cs="Arial"/>
          <w:b/>
          <w:bCs/>
          <w:sz w:val="22"/>
          <w:szCs w:val="22"/>
        </w:rPr>
        <w:t xml:space="preserve">все </w:t>
      </w:r>
      <w:r>
        <w:rPr>
          <w:rFonts w:ascii="Arial" w:hAnsi="Arial" w:cs="Arial"/>
          <w:sz w:val="22"/>
          <w:szCs w:val="22"/>
        </w:rPr>
        <w:t>следующие требования</w:t>
      </w:r>
      <w:r>
        <w:rPr>
          <w:rFonts w:ascii="Arial" w:hAnsi="Arial" w:cs="Arial"/>
          <w:b/>
          <w:bCs/>
          <w:sz w:val="22"/>
          <w:szCs w:val="22"/>
        </w:rPr>
        <w:t xml:space="preserve">: </w:t>
      </w:r>
    </w:p>
    <w:p>
      <w:pPr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8.1.Сведения, содержащиеся в рассматриваемых материалах, </w:t>
      </w:r>
      <w:r>
        <w:rPr>
          <w:rFonts w:ascii="Arial" w:hAnsi="Arial" w:cs="Arial"/>
          <w:b/>
          <w:sz w:val="22"/>
          <w:szCs w:val="22"/>
        </w:rPr>
        <w:t xml:space="preserve">находятся </w:t>
      </w:r>
      <w:r>
        <w:rPr>
          <w:rFonts w:ascii="Arial" w:hAnsi="Arial" w:cs="Arial"/>
          <w:sz w:val="22"/>
          <w:szCs w:val="22"/>
        </w:rPr>
        <w:t>в компетенции ФГБОУ ВО «СамГТУ».</w:t>
      </w:r>
    </w:p>
    <w:p>
      <w:pPr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8.2.На материалы </w:t>
      </w:r>
      <w:r>
        <w:rPr>
          <w:rFonts w:ascii="Arial" w:hAnsi="Arial" w:cs="Arial"/>
          <w:b/>
          <w:bCs/>
          <w:sz w:val="22"/>
          <w:szCs w:val="22"/>
        </w:rPr>
        <w:t>получено</w:t>
      </w:r>
      <w:r>
        <w:rPr>
          <w:rFonts w:ascii="Arial" w:hAnsi="Arial" w:cs="Arial"/>
          <w:sz w:val="22"/>
          <w:szCs w:val="22"/>
        </w:rPr>
        <w:t xml:space="preserve"> экспертное заключение об отсутствии в них сведений, составляющих государственную тайну. </w:t>
      </w:r>
    </w:p>
    <w:p>
      <w:pPr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8.3.На публикацию материалов </w:t>
      </w:r>
      <w:r>
        <w:rPr>
          <w:rFonts w:ascii="Arial" w:hAnsi="Arial" w:cs="Arial"/>
          <w:b/>
          <w:sz w:val="22"/>
          <w:szCs w:val="22"/>
        </w:rPr>
        <w:t xml:space="preserve">не требуется </w:t>
      </w:r>
      <w:r>
        <w:rPr>
          <w:rFonts w:ascii="Arial" w:hAnsi="Arial" w:cs="Arial"/>
          <w:sz w:val="22"/>
          <w:szCs w:val="22"/>
        </w:rPr>
        <w:t>получить разрешение Минобрнауки России или других министерств и ведомств.</w:t>
      </w:r>
    </w:p>
    <w:p>
      <w:pPr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8.4.Обязательность раскрытия или недопустимость ограничения доступа к сведениям, содержащимся в рассматриваемых материалах, </w:t>
      </w:r>
      <w:r>
        <w:rPr>
          <w:rFonts w:ascii="Arial" w:hAnsi="Arial" w:cs="Arial"/>
          <w:b/>
          <w:sz w:val="22"/>
          <w:szCs w:val="22"/>
        </w:rPr>
        <w:t xml:space="preserve">не установлена </w:t>
      </w:r>
      <w:r>
        <w:rPr>
          <w:rFonts w:ascii="Arial" w:hAnsi="Arial" w:cs="Arial"/>
          <w:sz w:val="22"/>
          <w:szCs w:val="22"/>
        </w:rPr>
        <w:t>федеральными законами Российской Федерации.</w:t>
      </w:r>
    </w:p>
    <w:p>
      <w:pPr>
        <w:ind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8.5. Обладателем сведений, содержащихся в рассматриваемых материалах, </w:t>
      </w:r>
      <w:r>
        <w:rPr>
          <w:rFonts w:ascii="Arial" w:hAnsi="Arial" w:cs="Arial"/>
          <w:b/>
          <w:sz w:val="22"/>
          <w:szCs w:val="22"/>
        </w:rPr>
        <w:t>является</w:t>
      </w:r>
      <w:r>
        <w:rPr>
          <w:rFonts w:ascii="Arial" w:hAnsi="Arial" w:cs="Arial"/>
          <w:sz w:val="22"/>
          <w:szCs w:val="22"/>
        </w:rPr>
        <w:t xml:space="preserve">  ФГБОУ ВО «СамГТУ».</w:t>
      </w:r>
    </w:p>
    <w:p>
      <w:pPr>
        <w:ind w:firstLine="720"/>
        <w:jc w:val="both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>9. В случае выполнения (не выполнения) требований (пп. 8.1.-8.5.) экспертам (руководителям-экспертам) выбирать один из вариантов выводов заключения (А-Г) (приложение 1).</w:t>
      </w:r>
    </w:p>
    <w:p>
      <w:pPr>
        <w:ind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10. Руководителям - экспертам (на момент издания настоящего приказа перечень утверждён приказом 1/477 от 05.07.2022 г. «о внесении изменений в приказ №1/442 от 30.08.2019 г.»):</w:t>
      </w:r>
    </w:p>
    <w:p>
      <w:pPr>
        <w:ind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10.1.ознакомиться с настоящим приказом под подпись;</w:t>
      </w:r>
    </w:p>
    <w:p>
      <w:pPr>
        <w:ind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10.2.произвести ознакомление под подпись с настоящим приказом работников, входящих в состав экспертов;</w:t>
      </w:r>
    </w:p>
    <w:p>
      <w:pPr>
        <w:ind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10.3. обеспечить хранение листков ознакомления с настоящим приказом; </w:t>
      </w:r>
    </w:p>
    <w:p>
      <w:pPr>
        <w:ind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10.4. в случае внесения изменений в перечень экспертов знакомить с настоящим приказом новых экспертов под подпись.</w:t>
      </w:r>
    </w:p>
    <w:p>
      <w:pPr>
        <w:ind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11. Руководителям структурных подразделений в случае необходимости оформления заключений обеспечить их хранение в соответствии с требованиями п.3 настоящего приказа.</w:t>
      </w:r>
    </w:p>
    <w:p>
      <w:pPr>
        <w:ind w:firstLine="720"/>
        <w:jc w:val="both"/>
        <w:rPr>
          <w:rFonts w:hint="default" w:ascii="Arial" w:hAnsi="Arial" w:cs="Arial"/>
          <w:sz w:val="22"/>
          <w:szCs w:val="22"/>
          <w:lang w:val="ru-RU"/>
        </w:rPr>
      </w:pPr>
      <w:r>
        <w:rPr>
          <w:rFonts w:hint="default" w:ascii="Arial" w:hAnsi="Arial" w:cs="Arial"/>
          <w:sz w:val="22"/>
          <w:szCs w:val="22"/>
          <w:lang w:val="ru-RU"/>
        </w:rPr>
        <w:t xml:space="preserve">12.  Настоящий приказ в редактируемом формате разместить на официальном сайте СамГТУ в разделе «Официальные документы / Информационная безопасность / Приказы и распоряжения» в сроки и в порядке, установленном </w:t>
      </w:r>
      <w:r>
        <w:rPr>
          <w:rFonts w:hint="default" w:ascii="Arial" w:hAnsi="Arial" w:eastAsia="SimSun" w:cs="Arial"/>
          <w:sz w:val="24"/>
          <w:szCs w:val="24"/>
          <w:lang w:val="ru-RU"/>
        </w:rPr>
        <w:t>п</w:t>
      </w:r>
      <w:r>
        <w:rPr>
          <w:rFonts w:hint="default" w:ascii="Arial" w:hAnsi="Arial" w:eastAsia="SimSun" w:cs="Arial"/>
          <w:sz w:val="24"/>
          <w:szCs w:val="24"/>
        </w:rPr>
        <w:t>оложение</w:t>
      </w:r>
      <w:r>
        <w:rPr>
          <w:rFonts w:hint="default" w:ascii="Arial" w:hAnsi="Arial" w:eastAsia="SimSun" w:cs="Arial"/>
          <w:sz w:val="24"/>
          <w:szCs w:val="24"/>
          <w:lang w:val="ru-RU"/>
        </w:rPr>
        <w:t>м</w:t>
      </w:r>
      <w:r>
        <w:rPr>
          <w:rFonts w:hint="default" w:ascii="Arial" w:hAnsi="Arial" w:eastAsia="SimSun" w:cs="Arial"/>
          <w:sz w:val="24"/>
          <w:szCs w:val="24"/>
        </w:rPr>
        <w:t xml:space="preserve"> </w:t>
      </w:r>
      <w:r>
        <w:rPr>
          <w:rFonts w:hint="default" w:ascii="Arial" w:hAnsi="Arial" w:eastAsia="SimSun" w:cs="Arial"/>
          <w:sz w:val="22"/>
          <w:szCs w:val="22"/>
        </w:rPr>
        <w:t xml:space="preserve">П-755 от 09.08.2022 г. </w:t>
      </w:r>
      <w:r>
        <w:rPr>
          <w:rFonts w:hint="default" w:ascii="Arial" w:hAnsi="Arial" w:eastAsia="SimSun" w:cs="Arial"/>
          <w:sz w:val="22"/>
          <w:szCs w:val="22"/>
          <w:lang w:val="ru-RU"/>
        </w:rPr>
        <w:t>«О</w:t>
      </w:r>
      <w:r>
        <w:rPr>
          <w:rFonts w:hint="default" w:ascii="Arial" w:hAnsi="Arial" w:eastAsia="SimSun" w:cs="Arial"/>
          <w:sz w:val="22"/>
          <w:szCs w:val="22"/>
        </w:rPr>
        <w:t>б официальном веб-сайте ФГБОУ ВО «СамГТУ»</w:t>
      </w:r>
      <w:r>
        <w:rPr>
          <w:rFonts w:hint="default" w:ascii="Arial" w:hAnsi="Arial" w:eastAsia="SimSun" w:cs="Arial"/>
          <w:sz w:val="22"/>
          <w:szCs w:val="22"/>
          <w:lang w:val="ru-RU"/>
        </w:rPr>
        <w:t>.</w:t>
      </w:r>
    </w:p>
    <w:p>
      <w:pPr>
        <w:ind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</w:t>
      </w:r>
      <w:r>
        <w:rPr>
          <w:rFonts w:hint="default" w:ascii="Arial" w:hAnsi="Arial" w:cs="Arial"/>
          <w:sz w:val="22"/>
          <w:szCs w:val="22"/>
          <w:lang w:val="ru-RU"/>
        </w:rPr>
        <w:t>3</w:t>
      </w:r>
      <w:r>
        <w:rPr>
          <w:rFonts w:ascii="Arial" w:hAnsi="Arial" w:cs="Arial"/>
          <w:sz w:val="22"/>
          <w:szCs w:val="22"/>
        </w:rPr>
        <w:t xml:space="preserve">. Заведующей канцелярией Сороколетовой Е.С. довести содержание настоящего приказа до руководителей всех структурных подразделений СамГТУ. </w:t>
      </w:r>
    </w:p>
    <w:p>
      <w:pPr>
        <w:ind w:firstLine="720"/>
        <w:jc w:val="both"/>
        <w:rPr>
          <w:rFonts w:hint="default" w:ascii="Arial" w:hAnsi="Arial" w:cs="Arial"/>
          <w:sz w:val="22"/>
          <w:szCs w:val="22"/>
          <w:lang w:val="ru-RU"/>
        </w:rPr>
      </w:pPr>
      <w:r>
        <w:rPr>
          <w:rFonts w:ascii="Arial" w:hAnsi="Arial" w:cs="Arial"/>
          <w:sz w:val="22"/>
          <w:szCs w:val="22"/>
        </w:rPr>
        <w:t>1</w:t>
      </w:r>
      <w:r>
        <w:rPr>
          <w:rFonts w:hint="default" w:ascii="Arial" w:hAnsi="Arial" w:cs="Arial"/>
          <w:sz w:val="22"/>
          <w:szCs w:val="22"/>
          <w:lang w:val="ru-RU"/>
        </w:rPr>
        <w:t>4</w:t>
      </w:r>
      <w:r>
        <w:rPr>
          <w:rFonts w:ascii="Arial" w:hAnsi="Arial" w:cs="Arial"/>
          <w:sz w:val="22"/>
          <w:szCs w:val="22"/>
        </w:rPr>
        <w:t xml:space="preserve">. Контроль за исполнением настоящего приказа возложить на </w:t>
      </w:r>
      <w:r>
        <w:rPr>
          <w:rFonts w:ascii="Arial" w:hAnsi="Arial" w:cs="Arial"/>
          <w:sz w:val="22"/>
          <w:szCs w:val="22"/>
          <w:lang w:val="ru-RU"/>
        </w:rPr>
        <w:t>проректора</w:t>
      </w:r>
      <w:r>
        <w:rPr>
          <w:rFonts w:hint="default" w:ascii="Arial" w:hAnsi="Arial" w:cs="Arial"/>
          <w:sz w:val="22"/>
          <w:szCs w:val="22"/>
          <w:lang w:val="ru-RU"/>
        </w:rPr>
        <w:t xml:space="preserve"> по инновационной деятельности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lang w:val="ru-RU"/>
        </w:rPr>
        <w:t>Савельева</w:t>
      </w:r>
      <w:r>
        <w:rPr>
          <w:rFonts w:hint="default" w:ascii="Arial" w:hAnsi="Arial" w:cs="Arial"/>
          <w:sz w:val="22"/>
          <w:szCs w:val="22"/>
          <w:lang w:val="ru-RU"/>
        </w:rPr>
        <w:t xml:space="preserve"> К.В.</w:t>
      </w:r>
    </w:p>
    <w:p>
      <w:pPr>
        <w:pStyle w:val="22"/>
        <w:ind w:left="360"/>
        <w:jc w:val="center"/>
        <w:rPr>
          <w:rFonts w:ascii="Arial" w:hAnsi="Arial" w:cs="Arial"/>
        </w:rPr>
      </w:pPr>
    </w:p>
    <w:p>
      <w:pPr>
        <w:pStyle w:val="22"/>
        <w:ind w:left="360"/>
        <w:jc w:val="center"/>
        <w:rPr>
          <w:rFonts w:ascii="Arial" w:hAnsi="Arial" w:cs="Arial"/>
        </w:rPr>
      </w:pPr>
    </w:p>
    <w:p>
      <w:pPr>
        <w:jc w:val="center"/>
        <w:rPr>
          <w:rFonts w:hint="default" w:ascii="Arial" w:hAnsi="Arial" w:cs="Arial"/>
          <w:lang w:val="ru-RU"/>
        </w:rPr>
      </w:pPr>
      <w:r>
        <w:rPr>
          <w:rFonts w:ascii="Arial" w:hAnsi="Arial" w:cs="Arial"/>
          <w:lang w:val="ru-RU"/>
        </w:rPr>
        <w:t>Ректор</w:t>
      </w:r>
      <w:r>
        <w:rPr>
          <w:rFonts w:ascii="Arial" w:hAnsi="Arial" w:cs="Arial"/>
        </w:rPr>
        <w:t xml:space="preserve">                                          </w:t>
      </w:r>
      <w:r>
        <w:rPr>
          <w:rFonts w:ascii="Arial" w:hAnsi="Arial" w:cs="Arial"/>
          <w:lang w:val="ru-RU"/>
        </w:rPr>
        <w:t>Д</w:t>
      </w:r>
      <w:r>
        <w:rPr>
          <w:rFonts w:hint="default" w:ascii="Arial" w:hAnsi="Arial" w:cs="Arial"/>
          <w:lang w:val="ru-RU"/>
        </w:rPr>
        <w:t>.Е. Быков</w:t>
      </w:r>
    </w:p>
    <w:p>
      <w:pPr>
        <w:widowControl/>
        <w:suppressAutoHyphens w:val="0"/>
        <w:spacing w:after="160" w:line="259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Проект вносит:</w:t>
      </w:r>
    </w:p>
    <w:p>
      <w:pPr>
        <w:pStyle w:val="19"/>
        <w:spacing w:after="0" w:line="240" w:lineRule="auto"/>
        <w:rPr>
          <w:rFonts w:ascii="Arial" w:hAnsi="Arial" w:cs="Arial"/>
          <w:sz w:val="22"/>
          <w:szCs w:val="22"/>
        </w:rPr>
      </w:pPr>
    </w:p>
    <w:tbl>
      <w:tblPr>
        <w:tblStyle w:val="6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19"/>
        <w:gridCol w:w="433"/>
        <w:gridCol w:w="2133"/>
        <w:gridCol w:w="267"/>
        <w:gridCol w:w="1417"/>
        <w:gridCol w:w="283"/>
        <w:gridCol w:w="238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3219" w:type="dxa"/>
            <w:tcBorders>
              <w:top w:val="nil"/>
              <w:right w:val="nil"/>
            </w:tcBorders>
            <w:vAlign w:val="bottom"/>
          </w:tcPr>
          <w:p>
            <w:pPr>
              <w:pStyle w:val="19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Специалист </w:t>
            </w:r>
          </w:p>
          <w:p>
            <w:pPr>
              <w:pStyle w:val="19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 информационной</w:t>
            </w:r>
          </w:p>
          <w:p>
            <w:pPr>
              <w:pStyle w:val="19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безопасности  отдела ИБ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19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33" w:type="dxa"/>
            <w:tcBorders>
              <w:top w:val="nil"/>
              <w:left w:val="nil"/>
              <w:right w:val="nil"/>
            </w:tcBorders>
            <w:vAlign w:val="bottom"/>
          </w:tcPr>
          <w:p>
            <w:pPr>
              <w:pStyle w:val="19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19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nil"/>
              <w:left w:val="nil"/>
              <w:right w:val="nil"/>
            </w:tcBorders>
            <w:vAlign w:val="bottom"/>
          </w:tcPr>
          <w:p>
            <w:pPr>
              <w:pStyle w:val="19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19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385" w:type="dxa"/>
            <w:tcBorders>
              <w:top w:val="nil"/>
              <w:left w:val="nil"/>
              <w:right w:val="nil"/>
            </w:tcBorders>
            <w:vAlign w:val="bottom"/>
          </w:tcPr>
          <w:p>
            <w:pPr>
              <w:pStyle w:val="19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А.С. Баранов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219" w:type="dxa"/>
            <w:tcBorders>
              <w:right w:val="nil"/>
            </w:tcBorders>
          </w:tcPr>
          <w:p>
            <w:pPr>
              <w:pStyle w:val="19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наименование должности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19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2133" w:type="dxa"/>
            <w:tcBorders>
              <w:left w:val="nil"/>
              <w:bottom w:val="nil"/>
              <w:right w:val="nil"/>
            </w:tcBorders>
          </w:tcPr>
          <w:p>
            <w:pPr>
              <w:pStyle w:val="19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(подпись)</w:t>
            </w: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19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>
            <w:pPr>
              <w:pStyle w:val="19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(дата)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19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2385" w:type="dxa"/>
            <w:tcBorders>
              <w:left w:val="nil"/>
              <w:bottom w:val="nil"/>
              <w:right w:val="nil"/>
            </w:tcBorders>
          </w:tcPr>
          <w:p>
            <w:pPr>
              <w:pStyle w:val="19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инициалы, фамилия</w:t>
            </w:r>
          </w:p>
        </w:tc>
      </w:tr>
    </w:tbl>
    <w:p>
      <w:pPr>
        <w:pStyle w:val="19"/>
        <w:spacing w:after="0" w:line="240" w:lineRule="auto"/>
        <w:rPr>
          <w:rFonts w:ascii="Arial" w:hAnsi="Arial" w:cs="Arial"/>
          <w:sz w:val="22"/>
          <w:szCs w:val="22"/>
        </w:rPr>
      </w:pPr>
    </w:p>
    <w:p>
      <w:pPr>
        <w:pStyle w:val="19"/>
        <w:spacing w:after="0" w:line="240" w:lineRule="auto"/>
        <w:rPr>
          <w:rFonts w:ascii="Arial" w:hAnsi="Arial" w:cs="Arial"/>
          <w:sz w:val="22"/>
          <w:szCs w:val="22"/>
        </w:rPr>
      </w:pPr>
    </w:p>
    <w:p>
      <w:pPr>
        <w:pStyle w:val="19"/>
        <w:spacing w:after="0"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СОГЛАСОВАНО:</w:t>
      </w:r>
    </w:p>
    <w:p>
      <w:pPr>
        <w:pStyle w:val="19"/>
        <w:spacing w:after="0" w:line="240" w:lineRule="auto"/>
        <w:rPr>
          <w:rFonts w:ascii="Arial" w:hAnsi="Arial" w:cs="Arial"/>
          <w:sz w:val="22"/>
          <w:szCs w:val="22"/>
        </w:rPr>
      </w:pPr>
    </w:p>
    <w:tbl>
      <w:tblPr>
        <w:tblStyle w:val="16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32"/>
        <w:gridCol w:w="426"/>
        <w:gridCol w:w="2126"/>
        <w:gridCol w:w="284"/>
        <w:gridCol w:w="1414"/>
        <w:gridCol w:w="284"/>
        <w:gridCol w:w="237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1594" w:type="pct"/>
            <w:tcBorders>
              <w:top w:val="nil"/>
              <w:right w:val="nil"/>
            </w:tcBorders>
            <w:vAlign w:val="center"/>
          </w:tcPr>
          <w:p>
            <w:pPr>
              <w:pStyle w:val="19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Проректор по инновационной деятельности </w:t>
            </w:r>
          </w:p>
        </w:tc>
        <w:tc>
          <w:tcPr>
            <w:tcW w:w="210" w:type="pct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19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048" w:type="pct"/>
            <w:tcBorders>
              <w:top w:val="nil"/>
              <w:left w:val="nil"/>
              <w:right w:val="nil"/>
            </w:tcBorders>
            <w:vAlign w:val="center"/>
          </w:tcPr>
          <w:p>
            <w:pPr>
              <w:pStyle w:val="19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40" w:type="pct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19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697" w:type="pct"/>
            <w:tcBorders>
              <w:top w:val="nil"/>
              <w:left w:val="nil"/>
              <w:right w:val="nil"/>
            </w:tcBorders>
            <w:vAlign w:val="center"/>
          </w:tcPr>
          <w:p>
            <w:pPr>
              <w:pStyle w:val="19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40" w:type="pct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19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69" w:type="pct"/>
            <w:tcBorders>
              <w:top w:val="nil"/>
              <w:left w:val="nil"/>
            </w:tcBorders>
            <w:vAlign w:val="bottom"/>
          </w:tcPr>
          <w:p>
            <w:pPr>
              <w:pStyle w:val="19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К.В. Савельев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4" w:type="pct"/>
            <w:tcBorders>
              <w:bottom w:val="nil"/>
              <w:right w:val="nil"/>
            </w:tcBorders>
          </w:tcPr>
          <w:p>
            <w:pPr>
              <w:pStyle w:val="19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наименование должности</w:t>
            </w:r>
          </w:p>
        </w:tc>
        <w:tc>
          <w:tcPr>
            <w:tcW w:w="210" w:type="pct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19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048" w:type="pct"/>
            <w:tcBorders>
              <w:left w:val="nil"/>
              <w:bottom w:val="nil"/>
              <w:right w:val="nil"/>
            </w:tcBorders>
          </w:tcPr>
          <w:p>
            <w:pPr>
              <w:pStyle w:val="19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(подпись)</w:t>
            </w:r>
          </w:p>
        </w:tc>
        <w:tc>
          <w:tcPr>
            <w:tcW w:w="140" w:type="pct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19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697" w:type="pct"/>
            <w:tcBorders>
              <w:left w:val="nil"/>
              <w:bottom w:val="nil"/>
              <w:right w:val="nil"/>
            </w:tcBorders>
          </w:tcPr>
          <w:p>
            <w:pPr>
              <w:pStyle w:val="19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(дата)</w:t>
            </w:r>
          </w:p>
        </w:tc>
        <w:tc>
          <w:tcPr>
            <w:tcW w:w="140" w:type="pct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19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169" w:type="pct"/>
            <w:tcBorders>
              <w:left w:val="nil"/>
              <w:bottom w:val="nil"/>
            </w:tcBorders>
            <w:vAlign w:val="bottom"/>
          </w:tcPr>
          <w:p>
            <w:pPr>
              <w:pStyle w:val="19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инициалы, фамилия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1594" w:type="pct"/>
            <w:tcBorders>
              <w:top w:val="nil"/>
              <w:right w:val="nil"/>
            </w:tcBorders>
            <w:vAlign w:val="center"/>
          </w:tcPr>
          <w:p>
            <w:pPr>
              <w:pStyle w:val="19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Начальник правового управления</w:t>
            </w:r>
          </w:p>
        </w:tc>
        <w:tc>
          <w:tcPr>
            <w:tcW w:w="210" w:type="pct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19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048" w:type="pct"/>
            <w:tcBorders>
              <w:top w:val="nil"/>
              <w:left w:val="nil"/>
              <w:right w:val="nil"/>
            </w:tcBorders>
            <w:vAlign w:val="center"/>
          </w:tcPr>
          <w:p>
            <w:pPr>
              <w:pStyle w:val="19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40" w:type="pct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19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697" w:type="pct"/>
            <w:tcBorders>
              <w:top w:val="nil"/>
              <w:left w:val="nil"/>
              <w:right w:val="nil"/>
            </w:tcBorders>
            <w:vAlign w:val="center"/>
          </w:tcPr>
          <w:p>
            <w:pPr>
              <w:pStyle w:val="19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40" w:type="pct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19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69" w:type="pct"/>
            <w:tcBorders>
              <w:top w:val="nil"/>
              <w:left w:val="nil"/>
            </w:tcBorders>
            <w:vAlign w:val="bottom"/>
          </w:tcPr>
          <w:p>
            <w:pPr>
              <w:pStyle w:val="19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А.Н. Иванова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4" w:type="pct"/>
            <w:tcBorders>
              <w:bottom w:val="nil"/>
              <w:right w:val="nil"/>
            </w:tcBorders>
          </w:tcPr>
          <w:p>
            <w:pPr>
              <w:pStyle w:val="19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наименование должности</w:t>
            </w:r>
          </w:p>
        </w:tc>
        <w:tc>
          <w:tcPr>
            <w:tcW w:w="210" w:type="pct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19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048" w:type="pct"/>
            <w:tcBorders>
              <w:left w:val="nil"/>
              <w:bottom w:val="nil"/>
              <w:right w:val="nil"/>
            </w:tcBorders>
          </w:tcPr>
          <w:p>
            <w:pPr>
              <w:pStyle w:val="19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(подпись)</w:t>
            </w:r>
          </w:p>
        </w:tc>
        <w:tc>
          <w:tcPr>
            <w:tcW w:w="140" w:type="pct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19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697" w:type="pct"/>
            <w:tcBorders>
              <w:left w:val="nil"/>
              <w:bottom w:val="nil"/>
              <w:right w:val="nil"/>
            </w:tcBorders>
          </w:tcPr>
          <w:p>
            <w:pPr>
              <w:pStyle w:val="19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(дата)</w:t>
            </w:r>
          </w:p>
        </w:tc>
        <w:tc>
          <w:tcPr>
            <w:tcW w:w="140" w:type="pct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19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169" w:type="pct"/>
            <w:tcBorders>
              <w:left w:val="nil"/>
              <w:bottom w:val="nil"/>
            </w:tcBorders>
            <w:vAlign w:val="bottom"/>
          </w:tcPr>
          <w:p>
            <w:pPr>
              <w:pStyle w:val="19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инициалы, фамилия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1594" w:type="pct"/>
            <w:tcBorders>
              <w:top w:val="nil"/>
              <w:right w:val="nil"/>
            </w:tcBorders>
            <w:vAlign w:val="center"/>
          </w:tcPr>
          <w:p>
            <w:pPr>
              <w:pStyle w:val="19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Начальник режимно-секретного подразделения</w:t>
            </w:r>
          </w:p>
        </w:tc>
        <w:tc>
          <w:tcPr>
            <w:tcW w:w="210" w:type="pct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19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048" w:type="pct"/>
            <w:tcBorders>
              <w:top w:val="nil"/>
              <w:left w:val="nil"/>
              <w:right w:val="nil"/>
            </w:tcBorders>
            <w:vAlign w:val="center"/>
          </w:tcPr>
          <w:p>
            <w:pPr>
              <w:pStyle w:val="19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40" w:type="pct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19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697" w:type="pct"/>
            <w:tcBorders>
              <w:top w:val="nil"/>
              <w:left w:val="nil"/>
              <w:right w:val="nil"/>
            </w:tcBorders>
            <w:vAlign w:val="center"/>
          </w:tcPr>
          <w:p>
            <w:pPr>
              <w:pStyle w:val="19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40" w:type="pct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19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69" w:type="pct"/>
            <w:tcBorders>
              <w:top w:val="nil"/>
              <w:left w:val="nil"/>
            </w:tcBorders>
            <w:vAlign w:val="bottom"/>
          </w:tcPr>
          <w:p>
            <w:pPr>
              <w:pStyle w:val="19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А.В. Губинский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4" w:type="pct"/>
            <w:tcBorders>
              <w:bottom w:val="nil"/>
              <w:right w:val="nil"/>
            </w:tcBorders>
          </w:tcPr>
          <w:p>
            <w:pPr>
              <w:pStyle w:val="19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наименование должности</w:t>
            </w:r>
          </w:p>
        </w:tc>
        <w:tc>
          <w:tcPr>
            <w:tcW w:w="210" w:type="pct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19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048" w:type="pct"/>
            <w:tcBorders>
              <w:left w:val="nil"/>
              <w:bottom w:val="nil"/>
              <w:right w:val="nil"/>
            </w:tcBorders>
          </w:tcPr>
          <w:p>
            <w:pPr>
              <w:pStyle w:val="19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(подпись)</w:t>
            </w:r>
          </w:p>
        </w:tc>
        <w:tc>
          <w:tcPr>
            <w:tcW w:w="140" w:type="pct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19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697" w:type="pct"/>
            <w:tcBorders>
              <w:left w:val="nil"/>
              <w:bottom w:val="nil"/>
              <w:right w:val="nil"/>
            </w:tcBorders>
          </w:tcPr>
          <w:p>
            <w:pPr>
              <w:pStyle w:val="19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(дата)</w:t>
            </w:r>
          </w:p>
        </w:tc>
        <w:tc>
          <w:tcPr>
            <w:tcW w:w="140" w:type="pct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19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169" w:type="pct"/>
            <w:tcBorders>
              <w:left w:val="nil"/>
              <w:bottom w:val="nil"/>
            </w:tcBorders>
            <w:vAlign w:val="bottom"/>
          </w:tcPr>
          <w:p>
            <w:pPr>
              <w:pStyle w:val="19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инициалы, фамилия</w:t>
            </w:r>
          </w:p>
        </w:tc>
      </w:tr>
    </w:tbl>
    <w:p>
      <w:pPr>
        <w:rPr>
          <w:rFonts w:ascii="Arial" w:hAnsi="Arial" w:cs="Arial"/>
          <w:szCs w:val="24"/>
        </w:rPr>
      </w:pPr>
    </w:p>
    <w:p>
      <w:pPr>
        <w:rPr>
          <w:rFonts w:ascii="Arial" w:hAnsi="Arial" w:cs="Arial"/>
          <w:szCs w:val="24"/>
        </w:rPr>
      </w:pPr>
    </w:p>
    <w:p>
      <w:pPr>
        <w:rPr>
          <w:rFonts w:ascii="Arial" w:hAnsi="Arial" w:cs="Arial"/>
          <w:szCs w:val="24"/>
        </w:rPr>
      </w:pPr>
    </w:p>
    <w:p>
      <w:pPr>
        <w:rPr>
          <w:rFonts w:ascii="Arial" w:hAnsi="Arial" w:cs="Arial"/>
          <w:szCs w:val="24"/>
        </w:rPr>
      </w:pPr>
    </w:p>
    <w:p>
      <w:pPr>
        <w:rPr>
          <w:rFonts w:ascii="Arial" w:hAnsi="Arial" w:cs="Arial"/>
          <w:szCs w:val="24"/>
        </w:rPr>
      </w:pPr>
    </w:p>
    <w:p>
      <w:pPr>
        <w:rPr>
          <w:rFonts w:ascii="Arial" w:hAnsi="Arial" w:cs="Arial"/>
          <w:szCs w:val="24"/>
        </w:rPr>
      </w:pPr>
    </w:p>
    <w:p>
      <w:pPr>
        <w:rPr>
          <w:rFonts w:ascii="Arial" w:hAnsi="Arial" w:cs="Arial"/>
          <w:szCs w:val="24"/>
        </w:rPr>
      </w:pPr>
    </w:p>
    <w:p>
      <w:pPr>
        <w:rPr>
          <w:rFonts w:ascii="Arial" w:hAnsi="Arial" w:cs="Arial"/>
          <w:szCs w:val="24"/>
        </w:rPr>
      </w:pPr>
    </w:p>
    <w:p>
      <w:pPr>
        <w:rPr>
          <w:rFonts w:ascii="Arial" w:hAnsi="Arial" w:cs="Arial"/>
          <w:szCs w:val="24"/>
        </w:rPr>
      </w:pPr>
    </w:p>
    <w:p>
      <w:pPr>
        <w:rPr>
          <w:rFonts w:ascii="Arial" w:hAnsi="Arial" w:cs="Arial"/>
          <w:szCs w:val="24"/>
        </w:rPr>
      </w:pPr>
    </w:p>
    <w:p>
      <w:pPr>
        <w:rPr>
          <w:rFonts w:ascii="Arial" w:hAnsi="Arial" w:cs="Arial"/>
          <w:szCs w:val="24"/>
        </w:rPr>
      </w:pPr>
    </w:p>
    <w:p>
      <w:pPr>
        <w:rPr>
          <w:rFonts w:ascii="Arial" w:hAnsi="Arial" w:cs="Arial"/>
          <w:szCs w:val="24"/>
        </w:rPr>
      </w:pPr>
    </w:p>
    <w:p>
      <w:pPr>
        <w:rPr>
          <w:rFonts w:ascii="Arial" w:hAnsi="Arial" w:cs="Arial"/>
          <w:szCs w:val="24"/>
        </w:rPr>
      </w:pPr>
    </w:p>
    <w:p>
      <w:pPr>
        <w:rPr>
          <w:rFonts w:ascii="Arial" w:hAnsi="Arial" w:cs="Arial"/>
          <w:szCs w:val="24"/>
        </w:rPr>
      </w:pPr>
    </w:p>
    <w:p>
      <w:pPr>
        <w:rPr>
          <w:rFonts w:ascii="Arial" w:hAnsi="Arial" w:cs="Arial"/>
          <w:szCs w:val="24"/>
        </w:rPr>
      </w:pPr>
    </w:p>
    <w:p>
      <w:pPr>
        <w:rPr>
          <w:rFonts w:ascii="Arial" w:hAnsi="Arial" w:cs="Arial"/>
          <w:szCs w:val="24"/>
        </w:rPr>
      </w:pPr>
    </w:p>
    <w:p>
      <w:pPr>
        <w:rPr>
          <w:rFonts w:ascii="Arial" w:hAnsi="Arial" w:cs="Arial"/>
          <w:szCs w:val="24"/>
        </w:rPr>
      </w:pPr>
    </w:p>
    <w:p>
      <w:pPr>
        <w:rPr>
          <w:rFonts w:ascii="Arial" w:hAnsi="Arial" w:cs="Arial"/>
          <w:szCs w:val="24"/>
        </w:rPr>
      </w:pPr>
    </w:p>
    <w:p>
      <w:pPr>
        <w:rPr>
          <w:rFonts w:ascii="Arial" w:hAnsi="Arial" w:cs="Arial"/>
          <w:szCs w:val="24"/>
        </w:rPr>
      </w:pPr>
    </w:p>
    <w:p>
      <w:pPr>
        <w:rPr>
          <w:rFonts w:ascii="Arial" w:hAnsi="Arial" w:cs="Arial"/>
          <w:szCs w:val="24"/>
        </w:rPr>
      </w:pPr>
    </w:p>
    <w:p>
      <w:pPr>
        <w:rPr>
          <w:rFonts w:ascii="Arial" w:hAnsi="Arial" w:cs="Arial"/>
          <w:szCs w:val="24"/>
        </w:rPr>
      </w:pPr>
    </w:p>
    <w:p>
      <w:pPr>
        <w:rPr>
          <w:rFonts w:ascii="Arial" w:hAnsi="Arial" w:cs="Arial"/>
          <w:szCs w:val="24"/>
        </w:rPr>
      </w:pPr>
    </w:p>
    <w:p>
      <w:pPr>
        <w:rPr>
          <w:rFonts w:ascii="Arial" w:hAnsi="Arial" w:cs="Arial"/>
          <w:szCs w:val="24"/>
        </w:rPr>
      </w:pPr>
    </w:p>
    <w:p>
      <w:pPr>
        <w:rPr>
          <w:rFonts w:ascii="Arial" w:hAnsi="Arial" w:cs="Arial"/>
          <w:sz w:val="21"/>
          <w:szCs w:val="21"/>
        </w:rPr>
      </w:pPr>
    </w:p>
    <w:p>
      <w:pPr>
        <w:rPr>
          <w:rFonts w:ascii="Arial" w:hAnsi="Arial" w:cs="Arial"/>
          <w:sz w:val="21"/>
          <w:szCs w:val="21"/>
        </w:rPr>
      </w:pPr>
    </w:p>
    <w:p>
      <w:pPr>
        <w:rPr>
          <w:rFonts w:ascii="Arial" w:hAnsi="Arial" w:cs="Arial"/>
          <w:sz w:val="21"/>
          <w:szCs w:val="21"/>
        </w:rPr>
      </w:pPr>
    </w:p>
    <w:p>
      <w:pPr>
        <w:rPr>
          <w:rFonts w:ascii="Arial" w:hAnsi="Arial" w:cs="Arial"/>
          <w:sz w:val="21"/>
          <w:szCs w:val="21"/>
        </w:rPr>
      </w:pPr>
    </w:p>
    <w:p>
      <w:pPr>
        <w:rPr>
          <w:rFonts w:ascii="Arial" w:hAnsi="Arial" w:cs="Arial"/>
          <w:sz w:val="21"/>
          <w:szCs w:val="21"/>
        </w:rPr>
      </w:pPr>
    </w:p>
    <w:p>
      <w:pPr>
        <w:rPr>
          <w:rFonts w:ascii="Arial" w:hAnsi="Arial" w:cs="Arial"/>
          <w:sz w:val="21"/>
          <w:szCs w:val="21"/>
        </w:rPr>
      </w:pPr>
    </w:p>
    <w:p>
      <w:pPr>
        <w:rPr>
          <w:rFonts w:ascii="Arial" w:hAnsi="Arial" w:cs="Arial"/>
          <w:sz w:val="21"/>
          <w:szCs w:val="21"/>
        </w:rPr>
      </w:pPr>
    </w:p>
    <w:p>
      <w:pPr>
        <w:rPr>
          <w:rFonts w:ascii="Arial" w:hAnsi="Arial" w:cs="Arial"/>
          <w:sz w:val="21"/>
          <w:szCs w:val="21"/>
        </w:rPr>
      </w:pPr>
    </w:p>
    <w:p>
      <w:pPr>
        <w:rPr>
          <w:rFonts w:ascii="Arial" w:hAnsi="Arial" w:cs="Arial"/>
          <w:sz w:val="21"/>
          <w:szCs w:val="21"/>
        </w:rPr>
      </w:pPr>
    </w:p>
    <w:p>
      <w:pPr>
        <w:rPr>
          <w:rFonts w:ascii="Arial" w:hAnsi="Arial" w:cs="Arial"/>
          <w:sz w:val="21"/>
          <w:szCs w:val="21"/>
        </w:rPr>
      </w:pPr>
    </w:p>
    <w:p>
      <w:pPr>
        <w:rPr>
          <w:rFonts w:ascii="Arial" w:hAnsi="Arial" w:cs="Arial"/>
          <w:sz w:val="21"/>
          <w:szCs w:val="21"/>
        </w:rPr>
      </w:pPr>
    </w:p>
    <w:p>
      <w:pPr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Исполнитель:</w:t>
      </w:r>
    </w:p>
    <w:p>
      <w:pPr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Баранов А.С.</w:t>
      </w:r>
    </w:p>
    <w:p>
      <w:pPr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278-43-32 (д. 103)</w:t>
      </w:r>
    </w:p>
    <w:p>
      <w:pPr>
        <w:wordWrap w:val="0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Приложение 1</w:t>
      </w:r>
    </w:p>
    <w:p>
      <w:pPr>
        <w:wordWrap w:val="0"/>
        <w:jc w:val="right"/>
        <w:rPr>
          <w:rFonts w:hint="default" w:ascii="Arial" w:hAnsi="Arial" w:cs="Arial"/>
          <w:sz w:val="21"/>
          <w:szCs w:val="21"/>
          <w:lang w:val="ru-RU"/>
        </w:rPr>
      </w:pPr>
      <w:r>
        <w:rPr>
          <w:rFonts w:ascii="Arial" w:hAnsi="Arial" w:cs="Arial"/>
          <w:sz w:val="21"/>
          <w:szCs w:val="21"/>
        </w:rPr>
        <w:t>к приказу №</w:t>
      </w:r>
      <w:r>
        <w:rPr>
          <w:rFonts w:hint="default" w:ascii="Arial" w:hAnsi="Arial" w:cs="Arial"/>
          <w:sz w:val="21"/>
          <w:szCs w:val="21"/>
          <w:u w:val="single"/>
          <w:lang w:val="en-US"/>
        </w:rPr>
        <w:t>1/464</w:t>
      </w:r>
      <w:r>
        <w:rPr>
          <w:rFonts w:ascii="Arial" w:hAnsi="Arial" w:cs="Arial"/>
          <w:sz w:val="21"/>
          <w:szCs w:val="21"/>
        </w:rPr>
        <w:t xml:space="preserve"> от </w:t>
      </w:r>
      <w:r>
        <w:rPr>
          <w:rFonts w:hint="default" w:ascii="Arial" w:hAnsi="Arial" w:cs="Arial"/>
          <w:sz w:val="21"/>
          <w:szCs w:val="21"/>
          <w:u w:val="single"/>
          <w:lang w:val="ru-RU"/>
        </w:rPr>
        <w:t>07.07.2023 г.</w:t>
      </w:r>
    </w:p>
    <w:tbl>
      <w:tblPr>
        <w:tblStyle w:val="35"/>
        <w:tblW w:w="10020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79"/>
        <w:gridCol w:w="484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8" w:hRule="atLeast"/>
        </w:trPr>
        <w:tc>
          <w:tcPr>
            <w:tcW w:w="517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rPr>
                <w:rFonts w:hint="default" w:ascii="Arial" w:hAnsi="Arial" w:cs="Arial"/>
                <w:sz w:val="16"/>
                <w:szCs w:val="16"/>
                <w:lang w:val="ru-RU"/>
              </w:rPr>
            </w:pPr>
          </w:p>
        </w:tc>
        <w:tc>
          <w:tcPr>
            <w:tcW w:w="484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288" w:lineRule="auto"/>
              <w:jc w:val="center"/>
              <w:rPr>
                <w:rFonts w:ascii="Arial" w:hAnsi="Arial" w:cs="Arial"/>
                <w:b/>
                <w:i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УТВЕРЖДАЮ</w:t>
            </w:r>
          </w:p>
          <w:p>
            <w:pPr>
              <w:tabs>
                <w:tab w:val="left" w:pos="-675"/>
              </w:tabs>
              <w:spacing w:line="288" w:lineRule="auto"/>
              <w:jc w:val="both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Должность лица, указанного в п. 2.4. Инструкции о порядке обращения со служебной информацией ограниченного распространения в ФГБОУ ВО «СамГТУ»</w:t>
            </w:r>
          </w:p>
          <w:p>
            <w:pPr>
              <w:tabs>
                <w:tab w:val="left" w:pos="-675"/>
              </w:tabs>
              <w:spacing w:line="288" w:lineRule="auto"/>
              <w:jc w:val="both"/>
              <w:rPr>
                <w:rFonts w:ascii="Arial" w:hAnsi="Arial" w:cs="Arial"/>
                <w:szCs w:val="24"/>
              </w:rPr>
            </w:pPr>
          </w:p>
          <w:p>
            <w:pPr>
              <w:spacing w:line="288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   _______________ И.О. Фамилия</w:t>
            </w:r>
          </w:p>
          <w:p>
            <w:pPr>
              <w:spacing w:line="288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   «___»____________ 20___г.</w:t>
            </w:r>
          </w:p>
          <w:p>
            <w:pPr>
              <w:spacing w:line="276" w:lineRule="auto"/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м.п.</w:t>
            </w:r>
          </w:p>
        </w:tc>
      </w:tr>
    </w:tbl>
    <w:p>
      <w:pPr>
        <w:rPr>
          <w:rFonts w:ascii="Arial" w:hAnsi="Arial" w:cs="Arial"/>
          <w:sz w:val="18"/>
          <w:szCs w:val="18"/>
        </w:rPr>
      </w:pPr>
    </w:p>
    <w:p>
      <w:pPr>
        <w:jc w:val="center"/>
        <w:rPr>
          <w:rFonts w:ascii="Arial" w:hAnsi="Arial" w:cs="Arial"/>
          <w:b w:val="0"/>
          <w:bCs/>
          <w:sz w:val="26"/>
          <w:szCs w:val="26"/>
          <w:highlight w:val="none"/>
        </w:rPr>
      </w:pPr>
      <w:r>
        <w:rPr>
          <w:rFonts w:ascii="Arial" w:hAnsi="Arial" w:cs="Arial"/>
          <w:b w:val="0"/>
          <w:bCs/>
          <w:sz w:val="26"/>
          <w:szCs w:val="26"/>
          <w:highlight w:val="none"/>
        </w:rPr>
        <w:t>ЗАКЛЮЧЕНИЕ</w:t>
      </w:r>
    </w:p>
    <w:p>
      <w:pPr>
        <w:jc w:val="center"/>
        <w:rPr>
          <w:rFonts w:ascii="Arial" w:hAnsi="Arial" w:cs="Arial"/>
          <w:b w:val="0"/>
          <w:bCs/>
          <w:sz w:val="26"/>
          <w:szCs w:val="26"/>
          <w:highlight w:val="none"/>
        </w:rPr>
      </w:pPr>
      <w:r>
        <w:rPr>
          <w:rFonts w:ascii="Arial" w:hAnsi="Arial" w:cs="Arial"/>
          <w:b w:val="0"/>
          <w:bCs/>
          <w:sz w:val="26"/>
          <w:szCs w:val="26"/>
          <w:highlight w:val="none"/>
        </w:rPr>
        <w:t>о наличии (отсутствии) в материалах служебной информации ограниченного распространения, не составляющей государственную тайну</w:t>
      </w:r>
    </w:p>
    <w:tbl>
      <w:tblPr>
        <w:tblStyle w:val="16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9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90" w:type="dxa"/>
            <w:tcBorders>
              <w:bottom w:val="single" w:color="auto" w:sz="4" w:space="0"/>
            </w:tcBorders>
          </w:tcPr>
          <w:p>
            <w:pPr>
              <w:rPr>
                <w:rFonts w:ascii="Arial" w:hAnsi="Arial" w:cs="Arial"/>
                <w:b w:val="0"/>
                <w:bCs/>
                <w:highlight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90" w:type="dxa"/>
            <w:tcBorders>
              <w:top w:val="single" w:color="auto" w:sz="4" w:space="0"/>
            </w:tcBorders>
          </w:tcPr>
          <w:p>
            <w:pPr>
              <w:jc w:val="center"/>
              <w:rPr>
                <w:rFonts w:ascii="Arial" w:hAnsi="Arial" w:cs="Arial"/>
                <w:b w:val="0"/>
                <w:bCs/>
                <w:highlight w:val="none"/>
              </w:rPr>
            </w:pPr>
            <w:r>
              <w:rPr>
                <w:rFonts w:ascii="Arial" w:hAnsi="Arial" w:cs="Arial"/>
                <w:b w:val="0"/>
                <w:bCs/>
                <w:sz w:val="18"/>
                <w:szCs w:val="18"/>
                <w:highlight w:val="none"/>
              </w:rPr>
              <w:t>(наименование материалов, подлежащих экспертизе)</w:t>
            </w:r>
          </w:p>
        </w:tc>
      </w:tr>
    </w:tbl>
    <w:p>
      <w:pPr>
        <w:rPr>
          <w:rFonts w:ascii="Arial" w:hAnsi="Arial" w:cs="Arial"/>
          <w:b w:val="0"/>
          <w:bCs/>
          <w:highlight w:val="none"/>
        </w:rPr>
      </w:pPr>
    </w:p>
    <w:tbl>
      <w:tblPr>
        <w:tblStyle w:val="16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3"/>
        <w:gridCol w:w="5083"/>
        <w:gridCol w:w="3317"/>
        <w:gridCol w:w="28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6" w:type="pct"/>
            <w:tcBorders>
              <w:bottom w:val="single" w:color="auto" w:sz="4" w:space="0"/>
            </w:tcBorders>
          </w:tcPr>
          <w:p>
            <w:pPr>
              <w:rPr>
                <w:rFonts w:ascii="Arial" w:hAnsi="Arial" w:cs="Arial"/>
                <w:b w:val="0"/>
                <w:bCs/>
                <w:highlight w:val="none"/>
              </w:rPr>
            </w:pPr>
            <w:r>
              <w:rPr>
                <w:rFonts w:ascii="Arial" w:hAnsi="Arial" w:cs="Arial"/>
                <w:b w:val="0"/>
                <w:bCs/>
                <w:highlight w:val="none"/>
              </w:rPr>
              <w:t>Эксперт(ы)</w:t>
            </w:r>
          </w:p>
        </w:tc>
        <w:tc>
          <w:tcPr>
            <w:tcW w:w="4143" w:type="pct"/>
            <w:gridSpan w:val="2"/>
            <w:tcBorders>
              <w:bottom w:val="single" w:color="auto" w:sz="4" w:space="0"/>
            </w:tcBorders>
          </w:tcPr>
          <w:p>
            <w:pPr>
              <w:rPr>
                <w:rFonts w:ascii="Arial" w:hAnsi="Arial" w:cs="Arial"/>
                <w:b w:val="0"/>
                <w:bCs/>
                <w:highlight w:val="none"/>
              </w:rPr>
            </w:pPr>
          </w:p>
        </w:tc>
        <w:tc>
          <w:tcPr>
            <w:tcW w:w="140" w:type="pct"/>
            <w:tcBorders>
              <w:bottom w:val="single" w:color="auto" w:sz="4" w:space="0"/>
            </w:tcBorders>
          </w:tcPr>
          <w:p>
            <w:pPr>
              <w:rPr>
                <w:rFonts w:ascii="Arial" w:hAnsi="Arial" w:cs="Arial"/>
                <w:b w:val="0"/>
                <w:bCs/>
                <w:highlight w:val="none"/>
              </w:rPr>
            </w:pPr>
            <w:r>
              <w:rPr>
                <w:rFonts w:ascii="Arial" w:hAnsi="Arial" w:cs="Arial"/>
                <w:b w:val="0"/>
                <w:bCs/>
                <w:highlight w:val="none"/>
              </w:rPr>
              <w:t>,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59" w:type="pct"/>
            <w:gridSpan w:val="3"/>
            <w:tcBorders>
              <w:top w:val="single" w:color="auto" w:sz="4" w:space="0"/>
            </w:tcBorders>
          </w:tcPr>
          <w:p>
            <w:pPr>
              <w:jc w:val="center"/>
              <w:rPr>
                <w:rFonts w:ascii="Arial" w:hAnsi="Arial" w:cs="Arial"/>
                <w:b w:val="0"/>
                <w:bCs/>
                <w:highlight w:val="none"/>
              </w:rPr>
            </w:pPr>
          </w:p>
        </w:tc>
        <w:tc>
          <w:tcPr>
            <w:tcW w:w="140" w:type="pct"/>
            <w:tcBorders>
              <w:top w:val="single" w:color="auto" w:sz="4" w:space="0"/>
            </w:tcBorders>
          </w:tcPr>
          <w:p>
            <w:pPr>
              <w:jc w:val="center"/>
              <w:rPr>
                <w:rFonts w:ascii="Arial" w:hAnsi="Arial" w:cs="Arial"/>
                <w:b w:val="0"/>
                <w:bCs/>
                <w:highlight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23" w:type="pct"/>
            <w:gridSpan w:val="2"/>
          </w:tcPr>
          <w:p>
            <w:pPr>
              <w:rPr>
                <w:rFonts w:ascii="Arial" w:hAnsi="Arial" w:cs="Arial"/>
                <w:b w:val="0"/>
                <w:bCs/>
                <w:highlight w:val="none"/>
              </w:rPr>
            </w:pPr>
            <w:r>
              <w:rPr>
                <w:rFonts w:ascii="Arial" w:hAnsi="Arial" w:cs="Arial"/>
                <w:b w:val="0"/>
                <w:bCs/>
                <w:highlight w:val="none"/>
              </w:rPr>
              <w:t>утвержденные приказом ректора ФГБОУ ВО «СамГТУ»</w:t>
            </w:r>
          </w:p>
        </w:tc>
        <w:tc>
          <w:tcPr>
            <w:tcW w:w="1636" w:type="pct"/>
            <w:tcBorders>
              <w:bottom w:val="single" w:color="auto" w:sz="4" w:space="0"/>
            </w:tcBorders>
          </w:tcPr>
          <w:p>
            <w:pPr>
              <w:rPr>
                <w:rFonts w:ascii="Arial" w:hAnsi="Arial" w:cs="Arial"/>
                <w:b w:val="0"/>
                <w:bCs/>
                <w:highlight w:val="none"/>
              </w:rPr>
            </w:pPr>
            <w:r>
              <w:rPr>
                <w:rFonts w:ascii="Arial" w:hAnsi="Arial" w:cs="Arial"/>
                <w:b w:val="0"/>
                <w:bCs/>
                <w:highlight w:val="none"/>
              </w:rPr>
              <w:t>№ ______ от ___________</w:t>
            </w:r>
          </w:p>
        </w:tc>
        <w:tc>
          <w:tcPr>
            <w:tcW w:w="140" w:type="pct"/>
            <w:tcBorders>
              <w:bottom w:val="single" w:color="auto" w:sz="4" w:space="0"/>
            </w:tcBorders>
          </w:tcPr>
          <w:p>
            <w:pPr>
              <w:rPr>
                <w:rFonts w:ascii="Arial" w:hAnsi="Arial" w:cs="Arial"/>
                <w:b w:val="0"/>
                <w:bCs/>
                <w:highlight w:val="none"/>
              </w:rPr>
            </w:pPr>
          </w:p>
        </w:tc>
      </w:tr>
    </w:tbl>
    <w:p>
      <w:pPr>
        <w:rPr>
          <w:rFonts w:ascii="Arial" w:hAnsi="Arial" w:cs="Arial"/>
          <w:b w:val="0"/>
          <w:bCs/>
          <w:highlight w:val="none"/>
        </w:rPr>
      </w:pPr>
      <w:r>
        <w:rPr>
          <w:rFonts w:ascii="Arial" w:hAnsi="Arial" w:cs="Arial"/>
          <w:b w:val="0"/>
          <w:bCs/>
          <w:highlight w:val="none"/>
        </w:rPr>
        <w:t xml:space="preserve">в период с « </w:t>
      </w:r>
      <w:r>
        <w:rPr>
          <w:rFonts w:ascii="Arial" w:hAnsi="Arial" w:cs="Arial"/>
          <w:b w:val="0"/>
          <w:bCs/>
          <w:highlight w:val="none"/>
          <w:u w:val="single"/>
        </w:rPr>
        <w:t xml:space="preserve">  _   </w:t>
      </w:r>
      <w:r>
        <w:rPr>
          <w:rFonts w:ascii="Arial" w:hAnsi="Arial" w:cs="Arial"/>
          <w:b w:val="0"/>
          <w:bCs/>
          <w:highlight w:val="none"/>
        </w:rPr>
        <w:t xml:space="preserve"> » ______20____г по «___ » ___________20___г  провел(и) экспертизу материалов</w:t>
      </w:r>
    </w:p>
    <w:p>
      <w:pPr>
        <w:rPr>
          <w:rFonts w:ascii="Arial" w:hAnsi="Arial" w:cs="Arial"/>
          <w:b w:val="0"/>
          <w:bCs/>
          <w:highlight w:val="none"/>
        </w:rPr>
      </w:pPr>
      <w:r>
        <w:rPr>
          <w:rFonts w:ascii="Arial" w:hAnsi="Arial" w:cs="Arial"/>
          <w:b w:val="0"/>
          <w:bCs/>
          <w:highlight w:val="none"/>
        </w:rPr>
        <w:t>__________________________________________________________________________</w:t>
      </w:r>
    </w:p>
    <w:p>
      <w:pPr>
        <w:jc w:val="center"/>
        <w:rPr>
          <w:rFonts w:ascii="Arial" w:hAnsi="Arial" w:cs="Arial"/>
          <w:b w:val="0"/>
          <w:bCs/>
          <w:sz w:val="18"/>
          <w:szCs w:val="18"/>
          <w:highlight w:val="none"/>
        </w:rPr>
      </w:pPr>
      <w:r>
        <w:rPr>
          <w:rFonts w:ascii="Arial" w:hAnsi="Arial" w:cs="Arial"/>
          <w:b w:val="0"/>
          <w:bCs/>
          <w:sz w:val="18"/>
          <w:szCs w:val="18"/>
          <w:highlight w:val="none"/>
        </w:rPr>
        <w:t>( вид материала  (статья, тезисы, доклад, автореферат, отчет и т.п.) и его название )</w:t>
      </w:r>
    </w:p>
    <w:p>
      <w:pPr>
        <w:rPr>
          <w:rFonts w:ascii="Arial" w:hAnsi="Arial" w:cs="Arial"/>
          <w:b w:val="0"/>
          <w:bCs/>
          <w:highlight w:val="none"/>
        </w:rPr>
      </w:pPr>
      <w:r>
        <w:rPr>
          <w:rFonts w:ascii="Arial" w:hAnsi="Arial" w:cs="Arial"/>
          <w:b w:val="0"/>
          <w:bCs/>
          <w:highlight w:val="none"/>
        </w:rPr>
        <w:t>__________________________________________________________________________</w:t>
      </w:r>
    </w:p>
    <w:p>
      <w:pPr>
        <w:jc w:val="center"/>
        <w:rPr>
          <w:rFonts w:ascii="Arial" w:hAnsi="Arial" w:cs="Arial"/>
          <w:b w:val="0"/>
          <w:bCs/>
          <w:sz w:val="18"/>
          <w:szCs w:val="18"/>
          <w:highlight w:val="none"/>
        </w:rPr>
      </w:pPr>
      <w:r>
        <w:rPr>
          <w:rFonts w:ascii="Arial" w:hAnsi="Arial" w:cs="Arial"/>
          <w:b w:val="0"/>
          <w:bCs/>
          <w:sz w:val="18"/>
          <w:szCs w:val="18"/>
          <w:highlight w:val="none"/>
        </w:rPr>
        <w:t>(ФИО автора/ов (при наличии)</w:t>
      </w:r>
    </w:p>
    <w:p>
      <w:pPr>
        <w:jc w:val="both"/>
        <w:rPr>
          <w:rFonts w:ascii="Arial" w:hAnsi="Arial" w:cs="Arial"/>
          <w:b w:val="0"/>
          <w:bCs/>
          <w:szCs w:val="24"/>
          <w:highlight w:val="none"/>
        </w:rPr>
      </w:pPr>
      <w:r>
        <w:rPr>
          <w:rFonts w:ascii="Arial" w:hAnsi="Arial" w:cs="Arial"/>
          <w:b w:val="0"/>
          <w:bCs/>
          <w:szCs w:val="24"/>
          <w:highlight w:val="none"/>
        </w:rPr>
        <w:t>на отсутствие (наличие) в них сведений, составляющих служебную информацию ограниченного распространения, не составляющих государственную тайну, и возможности (невозможности) их открытого опубликования.</w:t>
      </w:r>
    </w:p>
    <w:p>
      <w:pPr>
        <w:ind w:firstLine="709"/>
        <w:jc w:val="both"/>
        <w:rPr>
          <w:rFonts w:ascii="Arial" w:hAnsi="Arial" w:cs="Arial"/>
          <w:b w:val="0"/>
          <w:bCs/>
          <w:szCs w:val="24"/>
          <w:highlight w:val="none"/>
        </w:rPr>
      </w:pPr>
      <w:r>
        <w:rPr>
          <w:rFonts w:ascii="Arial" w:hAnsi="Arial" w:cs="Arial"/>
          <w:b w:val="0"/>
          <w:bCs/>
          <w:szCs w:val="24"/>
          <w:highlight w:val="none"/>
        </w:rPr>
        <w:t>Руководствуясь Федеральным законом  "Об информации, информационных технологиях и о защите информации" от 27.07.2006 N 149-ФЗ, Постановлением Правительства РФ от 3 ноября 1994 г. N 1233 "Об утверждении Положения  о порядке обращения со служебной информацией ограниченного распространения в федеральных органах исполнительной власти, уполномоченном органе управления использованием атомной энергии и уполномоченном органе по космической деятельности", Положением о конфиденциальной информации ФГБОУ ВО «СамГТУ» (Положение №П-844 от 21.03.2023 г.), Инструкцией о порядке обращения со служебной информацией ограниченного распространения в ФГБОУ ВО «СамГТУ» (Инструкция №И-02.19/7 от 15.03.2023 г.) эксперт(ы) установил(и):</w:t>
      </w:r>
    </w:p>
    <w:p>
      <w:pPr>
        <w:ind w:firstLine="709"/>
        <w:jc w:val="both"/>
        <w:rPr>
          <w:rFonts w:ascii="Arial" w:hAnsi="Arial" w:cs="Arial"/>
          <w:b w:val="0"/>
          <w:bCs/>
          <w:szCs w:val="24"/>
          <w:highlight w:val="none"/>
        </w:rPr>
      </w:pPr>
      <w:r>
        <w:rPr>
          <w:rFonts w:ascii="Arial" w:hAnsi="Arial" w:cs="Arial"/>
          <w:b w:val="0"/>
          <w:bCs/>
          <w:szCs w:val="24"/>
          <w:highlight w:val="none"/>
        </w:rPr>
        <w:t>1.Сведения, содержащиеся в рассматриваемых материалах, находятся / не находятся в компетенции ФГБОУ ВО «СамГТУ».</w:t>
      </w:r>
    </w:p>
    <w:p>
      <w:pPr>
        <w:ind w:firstLine="709"/>
        <w:jc w:val="both"/>
        <w:rPr>
          <w:rFonts w:ascii="Arial" w:hAnsi="Arial" w:cs="Arial"/>
          <w:b w:val="0"/>
          <w:bCs/>
          <w:szCs w:val="24"/>
          <w:highlight w:val="none"/>
        </w:rPr>
      </w:pPr>
      <w:r>
        <w:rPr>
          <w:rFonts w:ascii="Arial" w:hAnsi="Arial" w:cs="Arial"/>
          <w:b w:val="0"/>
          <w:bCs/>
          <w:szCs w:val="24"/>
          <w:highlight w:val="none"/>
        </w:rPr>
        <w:t xml:space="preserve">2.На материалы получено / не получено экспертное заключение об отсутствии в них сведений, составляющих государственную тайну. </w:t>
      </w:r>
    </w:p>
    <w:p>
      <w:pPr>
        <w:ind w:firstLine="709"/>
        <w:jc w:val="both"/>
        <w:rPr>
          <w:rFonts w:ascii="Arial" w:hAnsi="Arial" w:cs="Arial"/>
          <w:b w:val="0"/>
          <w:bCs/>
          <w:szCs w:val="24"/>
          <w:highlight w:val="none"/>
        </w:rPr>
      </w:pPr>
      <w:r>
        <w:rPr>
          <w:rFonts w:ascii="Arial" w:hAnsi="Arial" w:cs="Arial"/>
          <w:b w:val="0"/>
          <w:bCs/>
          <w:szCs w:val="24"/>
          <w:highlight w:val="none"/>
        </w:rPr>
        <w:t>3.На публикацию материалов не требуется / требуется получить разрешение Минобрнауки России или других министерств и ведомств.</w:t>
      </w:r>
    </w:p>
    <w:p>
      <w:pPr>
        <w:ind w:firstLine="709"/>
        <w:jc w:val="both"/>
        <w:rPr>
          <w:rFonts w:ascii="Arial" w:hAnsi="Arial" w:cs="Arial"/>
          <w:b w:val="0"/>
          <w:bCs/>
          <w:szCs w:val="24"/>
          <w:highlight w:val="none"/>
        </w:rPr>
      </w:pPr>
      <w:r>
        <w:rPr>
          <w:rFonts w:ascii="Arial" w:hAnsi="Arial" w:cs="Arial"/>
          <w:b w:val="0"/>
          <w:bCs/>
          <w:szCs w:val="24"/>
          <w:highlight w:val="none"/>
        </w:rPr>
        <w:t>4.Обязательность раскрытия или недопустимость ограничения доступа к сведениям, содержащимся в рассматриваемых материалах, не установлена / установлена федеральными законами Российской Федерации.</w:t>
      </w:r>
    </w:p>
    <w:p>
      <w:pPr>
        <w:ind w:firstLine="720"/>
        <w:jc w:val="both"/>
        <w:rPr>
          <w:rFonts w:ascii="Arial" w:hAnsi="Arial" w:cs="Arial"/>
          <w:b w:val="0"/>
          <w:bCs/>
          <w:szCs w:val="24"/>
          <w:highlight w:val="none"/>
        </w:rPr>
      </w:pPr>
      <w:r>
        <w:rPr>
          <w:rFonts w:ascii="Arial" w:hAnsi="Arial" w:cs="Arial"/>
          <w:b w:val="0"/>
          <w:bCs/>
          <w:szCs w:val="24"/>
          <w:highlight w:val="none"/>
        </w:rPr>
        <w:t>5. Обладателем сведений, содержащихся в рассматриваемых материалах, является / не является ФГБОУ ВО «СамГТУ».</w:t>
      </w:r>
    </w:p>
    <w:p>
      <w:pPr>
        <w:ind w:firstLine="720"/>
        <w:jc w:val="both"/>
        <w:rPr>
          <w:rFonts w:ascii="Arial" w:hAnsi="Arial" w:cs="Arial"/>
          <w:b w:val="0"/>
          <w:bCs/>
          <w:szCs w:val="24"/>
          <w:highlight w:val="none"/>
        </w:rPr>
      </w:pPr>
      <w:r>
        <w:rPr>
          <w:rFonts w:ascii="Arial" w:hAnsi="Arial" w:cs="Arial"/>
          <w:b w:val="0"/>
          <w:bCs/>
          <w:szCs w:val="24"/>
          <w:highlight w:val="none"/>
        </w:rPr>
        <w:t>А. 6.Сведения, содержащиеся в рассматриваемых материалах, не относятся к служебной информации ограниченного распространения на основании:</w:t>
      </w:r>
    </w:p>
    <w:tbl>
      <w:tblPr>
        <w:tblStyle w:val="16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3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bottom w:val="single" w:color="auto" w:sz="4" w:space="0"/>
            </w:tcBorders>
          </w:tcPr>
          <w:p>
            <w:pPr>
              <w:rPr>
                <w:rFonts w:ascii="Arial" w:hAnsi="Arial" w:cs="Arial"/>
                <w:b w:val="0"/>
                <w:bCs/>
                <w:highlight w:val="none"/>
              </w:rPr>
            </w:pPr>
            <w:r>
              <w:rPr>
                <w:rFonts w:ascii="Arial" w:hAnsi="Arial" w:cs="Arial"/>
                <w:b w:val="0"/>
                <w:bCs/>
                <w:szCs w:val="24"/>
                <w:highlight w:val="none"/>
              </w:rP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top w:val="single" w:color="auto" w:sz="4" w:space="0"/>
            </w:tcBorders>
          </w:tcPr>
          <w:p>
            <w:pPr>
              <w:jc w:val="center"/>
              <w:rPr>
                <w:rFonts w:ascii="Arial" w:hAnsi="Arial" w:cs="Arial"/>
                <w:b w:val="0"/>
                <w:bCs/>
                <w:sz w:val="20"/>
                <w:szCs w:val="24"/>
                <w:highlight w:val="none"/>
              </w:rPr>
            </w:pPr>
            <w:r>
              <w:rPr>
                <w:rFonts w:ascii="Arial" w:hAnsi="Arial" w:cs="Arial"/>
                <w:b w:val="0"/>
                <w:bCs/>
                <w:sz w:val="20"/>
                <w:szCs w:val="24"/>
                <w:highlight w:val="none"/>
              </w:rPr>
              <w:t>(обоснование не отнесения к служебной информации ограниченного распространения)</w:t>
            </w:r>
          </w:p>
        </w:tc>
      </w:tr>
    </w:tbl>
    <w:p>
      <w:pPr>
        <w:ind w:firstLine="720"/>
        <w:jc w:val="both"/>
        <w:rPr>
          <w:rFonts w:ascii="Arial" w:hAnsi="Arial" w:cs="Arial"/>
          <w:b w:val="0"/>
          <w:bCs/>
          <w:szCs w:val="24"/>
          <w:highlight w:val="none"/>
        </w:rPr>
      </w:pPr>
      <w:r>
        <w:rPr>
          <w:rFonts w:ascii="Arial" w:hAnsi="Arial" w:cs="Arial"/>
          <w:b w:val="0"/>
          <w:bCs/>
          <w:szCs w:val="24"/>
          <w:highlight w:val="none"/>
        </w:rPr>
        <w:t xml:space="preserve">Эксперт(ы) пришли к выводу: </w:t>
      </w:r>
    </w:p>
    <w:p>
      <w:pPr>
        <w:ind w:firstLine="720"/>
        <w:jc w:val="both"/>
        <w:rPr>
          <w:rFonts w:ascii="Arial" w:hAnsi="Arial" w:cs="Arial"/>
          <w:b w:val="0"/>
          <w:bCs/>
          <w:szCs w:val="24"/>
          <w:highlight w:val="none"/>
        </w:rPr>
      </w:pPr>
      <w:r>
        <w:rPr>
          <w:rFonts w:ascii="Arial" w:hAnsi="Arial" w:cs="Arial"/>
          <w:b w:val="0"/>
          <w:bCs/>
          <w:szCs w:val="24"/>
          <w:highlight w:val="none"/>
        </w:rPr>
        <w:t xml:space="preserve"> сведения, содержащиеся в рассматриваемых материалах, при печати не требуют нанесения пометки «Для служебного пользования» и могут быть открыто опубликованы. </w:t>
      </w:r>
    </w:p>
    <w:p>
      <w:pPr>
        <w:ind w:firstLine="720"/>
        <w:jc w:val="both"/>
        <w:rPr>
          <w:rFonts w:ascii="Arial" w:hAnsi="Arial" w:cs="Arial"/>
          <w:b w:val="0"/>
          <w:bCs/>
          <w:szCs w:val="24"/>
          <w:highlight w:val="none"/>
        </w:rPr>
      </w:pPr>
      <w:r>
        <w:rPr>
          <w:rFonts w:ascii="Arial" w:hAnsi="Arial" w:cs="Arial"/>
          <w:b w:val="0"/>
          <w:bCs/>
          <w:szCs w:val="24"/>
          <w:highlight w:val="none"/>
        </w:rPr>
        <w:t>Б. 6.Сведения, содержащиеся в рассматриваемых материалах, относятся к служебной информации ограниченного распространения на основании:</w:t>
      </w:r>
    </w:p>
    <w:tbl>
      <w:tblPr>
        <w:tblStyle w:val="16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3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bottom w:val="single" w:color="auto" w:sz="4" w:space="0"/>
            </w:tcBorders>
          </w:tcPr>
          <w:p>
            <w:pPr>
              <w:rPr>
                <w:rFonts w:ascii="Arial" w:hAnsi="Arial" w:cs="Arial"/>
                <w:b w:val="0"/>
                <w:bCs/>
                <w:highlight w:val="none"/>
              </w:rPr>
            </w:pPr>
            <w:r>
              <w:rPr>
                <w:rFonts w:ascii="Arial" w:hAnsi="Arial" w:cs="Arial"/>
                <w:b w:val="0"/>
                <w:bCs/>
                <w:szCs w:val="24"/>
                <w:highlight w:val="none"/>
              </w:rP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top w:val="single" w:color="auto" w:sz="4" w:space="0"/>
            </w:tcBorders>
          </w:tcPr>
          <w:p>
            <w:pPr>
              <w:jc w:val="center"/>
              <w:rPr>
                <w:rFonts w:ascii="Arial" w:hAnsi="Arial" w:cs="Arial"/>
                <w:b w:val="0"/>
                <w:bCs/>
                <w:sz w:val="20"/>
                <w:szCs w:val="24"/>
                <w:highlight w:val="none"/>
              </w:rPr>
            </w:pPr>
            <w:r>
              <w:rPr>
                <w:rFonts w:ascii="Arial" w:hAnsi="Arial" w:cs="Arial"/>
                <w:b w:val="0"/>
                <w:bCs/>
                <w:sz w:val="20"/>
                <w:szCs w:val="24"/>
                <w:highlight w:val="none"/>
              </w:rPr>
              <w:t>(обоснование отнесения к служебной информации ограниченного распространения)</w:t>
            </w:r>
          </w:p>
        </w:tc>
      </w:tr>
    </w:tbl>
    <w:p>
      <w:pPr>
        <w:ind w:firstLine="720"/>
        <w:jc w:val="both"/>
        <w:rPr>
          <w:rFonts w:ascii="Arial" w:hAnsi="Arial" w:cs="Arial"/>
          <w:b w:val="0"/>
          <w:bCs/>
          <w:szCs w:val="24"/>
          <w:highlight w:val="none"/>
        </w:rPr>
      </w:pPr>
      <w:r>
        <w:rPr>
          <w:rFonts w:ascii="Arial" w:hAnsi="Arial" w:cs="Arial"/>
          <w:b w:val="0"/>
          <w:bCs/>
          <w:szCs w:val="24"/>
          <w:highlight w:val="none"/>
        </w:rPr>
        <w:t xml:space="preserve">Эксперт(ы) пришли к выводу: </w:t>
      </w:r>
    </w:p>
    <w:p>
      <w:pPr>
        <w:ind w:firstLine="720"/>
        <w:jc w:val="both"/>
        <w:rPr>
          <w:rFonts w:ascii="Arial" w:hAnsi="Arial" w:cs="Arial"/>
          <w:b w:val="0"/>
          <w:bCs/>
          <w:szCs w:val="24"/>
          <w:highlight w:val="none"/>
        </w:rPr>
      </w:pPr>
      <w:r>
        <w:rPr>
          <w:rFonts w:ascii="Arial" w:hAnsi="Arial" w:cs="Arial"/>
          <w:b w:val="0"/>
          <w:bCs/>
          <w:szCs w:val="24"/>
          <w:highlight w:val="none"/>
        </w:rPr>
        <w:t xml:space="preserve">сведения, содержащиеся в рассматриваемых материалах, при печати требуют нанесения пометки «Для служебного пользования» и не могут быть открыто опубликованы. </w:t>
      </w:r>
    </w:p>
    <w:p>
      <w:pPr>
        <w:ind w:firstLine="720"/>
        <w:jc w:val="both"/>
        <w:rPr>
          <w:rFonts w:ascii="Arial" w:hAnsi="Arial" w:cs="Arial"/>
          <w:b w:val="0"/>
          <w:bCs/>
          <w:szCs w:val="24"/>
          <w:highlight w:val="none"/>
        </w:rPr>
      </w:pPr>
      <w:r>
        <w:rPr>
          <w:rFonts w:ascii="Arial" w:hAnsi="Arial" w:cs="Arial"/>
          <w:b w:val="0"/>
          <w:bCs/>
          <w:szCs w:val="24"/>
          <w:highlight w:val="none"/>
        </w:rPr>
        <w:t>В. Эксперт(ы) пришли к выводу:  экспертиза материалов не может быть проведена, поскольку (</w:t>
      </w:r>
      <w:r>
        <w:rPr>
          <w:rFonts w:ascii="Arial" w:hAnsi="Arial" w:cs="Arial"/>
          <w:b w:val="0"/>
          <w:bCs/>
          <w:i/>
          <w:iCs/>
          <w:szCs w:val="24"/>
          <w:highlight w:val="none"/>
        </w:rPr>
        <w:t>необходимо оставить только нужные подпункты</w:t>
      </w:r>
      <w:r>
        <w:rPr>
          <w:rFonts w:ascii="Arial" w:hAnsi="Arial" w:cs="Arial"/>
          <w:b w:val="0"/>
          <w:bCs/>
          <w:szCs w:val="24"/>
          <w:highlight w:val="none"/>
        </w:rPr>
        <w:t>):</w:t>
      </w:r>
    </w:p>
    <w:p>
      <w:pPr>
        <w:ind w:firstLine="720"/>
        <w:jc w:val="both"/>
        <w:rPr>
          <w:rFonts w:ascii="Arial" w:hAnsi="Arial" w:cs="Arial"/>
          <w:b w:val="0"/>
          <w:bCs/>
          <w:szCs w:val="24"/>
          <w:highlight w:val="none"/>
        </w:rPr>
      </w:pPr>
      <w:r>
        <w:rPr>
          <w:rFonts w:ascii="Arial" w:hAnsi="Arial" w:cs="Arial"/>
          <w:b w:val="0"/>
          <w:bCs/>
          <w:szCs w:val="24"/>
          <w:highlight w:val="none"/>
        </w:rPr>
        <w:t>они не находятся в компетенции  ФГБОУ ВО «СамГТУ»;</w:t>
      </w:r>
    </w:p>
    <w:p>
      <w:pPr>
        <w:ind w:firstLine="720"/>
        <w:jc w:val="both"/>
        <w:rPr>
          <w:rFonts w:ascii="Arial" w:hAnsi="Arial" w:cs="Arial"/>
          <w:b w:val="0"/>
          <w:bCs/>
          <w:szCs w:val="24"/>
          <w:highlight w:val="none"/>
        </w:rPr>
      </w:pPr>
      <w:r>
        <w:rPr>
          <w:rFonts w:ascii="Arial" w:hAnsi="Arial" w:cs="Arial"/>
          <w:b w:val="0"/>
          <w:bCs/>
          <w:szCs w:val="24"/>
          <w:highlight w:val="none"/>
        </w:rPr>
        <w:t>на них не получено экспертное заключение об отсутствии в них сведений, составляющих государственную тайну;</w:t>
      </w:r>
    </w:p>
    <w:p>
      <w:pPr>
        <w:ind w:firstLine="720"/>
        <w:jc w:val="both"/>
        <w:rPr>
          <w:rFonts w:ascii="Arial" w:hAnsi="Arial" w:cs="Arial"/>
          <w:b w:val="0"/>
          <w:bCs/>
          <w:szCs w:val="24"/>
          <w:highlight w:val="none"/>
        </w:rPr>
      </w:pPr>
      <w:r>
        <w:rPr>
          <w:rFonts w:ascii="Arial" w:hAnsi="Arial" w:cs="Arial"/>
          <w:b w:val="0"/>
          <w:bCs/>
          <w:szCs w:val="24"/>
          <w:highlight w:val="none"/>
        </w:rPr>
        <w:t xml:space="preserve">на их публикацию требуется получить разрешение </w:t>
      </w:r>
      <w:r>
        <w:rPr>
          <w:rFonts w:ascii="Arial" w:hAnsi="Arial" w:eastAsia="SimSun" w:cs="Arial"/>
          <w:b w:val="0"/>
          <w:bCs/>
          <w:szCs w:val="24"/>
          <w:highlight w:val="none"/>
        </w:rPr>
        <w:t xml:space="preserve">Министерства науки и высшего образования </w:t>
      </w:r>
      <w:r>
        <w:rPr>
          <w:rStyle w:val="8"/>
          <w:rFonts w:ascii="Arial" w:hAnsi="Arial" w:eastAsia="SimSun" w:cs="Arial"/>
          <w:b w:val="0"/>
          <w:bCs/>
          <w:i w:val="0"/>
          <w:iCs w:val="0"/>
          <w:szCs w:val="24"/>
          <w:highlight w:val="none"/>
        </w:rPr>
        <w:t>Российской</w:t>
      </w:r>
      <w:r>
        <w:rPr>
          <w:rFonts w:ascii="Arial" w:hAnsi="Arial" w:eastAsia="SimSun" w:cs="Arial"/>
          <w:b w:val="0"/>
          <w:bCs/>
          <w:szCs w:val="24"/>
          <w:highlight w:val="none"/>
        </w:rPr>
        <w:t xml:space="preserve"> Федерации </w:t>
      </w:r>
      <w:r>
        <w:rPr>
          <w:rFonts w:ascii="Arial" w:hAnsi="Arial" w:cs="Arial"/>
          <w:b w:val="0"/>
          <w:bCs/>
          <w:szCs w:val="24"/>
          <w:highlight w:val="none"/>
        </w:rPr>
        <w:t xml:space="preserve"> или других министерств и ведомств;</w:t>
      </w:r>
    </w:p>
    <w:p>
      <w:pPr>
        <w:ind w:firstLine="720"/>
        <w:jc w:val="both"/>
        <w:rPr>
          <w:rFonts w:ascii="Arial" w:hAnsi="Arial" w:cs="Arial"/>
          <w:b w:val="0"/>
          <w:bCs/>
          <w:szCs w:val="24"/>
          <w:highlight w:val="none"/>
        </w:rPr>
      </w:pPr>
      <w:r>
        <w:rPr>
          <w:rFonts w:ascii="Arial" w:hAnsi="Arial" w:cs="Arial"/>
          <w:b w:val="0"/>
          <w:bCs/>
          <w:szCs w:val="24"/>
          <w:highlight w:val="none"/>
        </w:rPr>
        <w:t>обладателем сведений, содержащихся в рассматриваемых  материалах, не является ФГБОУ ВО «СамГТУ».</w:t>
      </w:r>
    </w:p>
    <w:p>
      <w:pPr>
        <w:ind w:firstLine="720"/>
        <w:jc w:val="both"/>
        <w:rPr>
          <w:rFonts w:ascii="Arial" w:hAnsi="Arial" w:cs="Arial"/>
          <w:b w:val="0"/>
          <w:bCs/>
          <w:szCs w:val="24"/>
          <w:highlight w:val="none"/>
        </w:rPr>
      </w:pPr>
      <w:r>
        <w:rPr>
          <w:rFonts w:ascii="Arial" w:hAnsi="Arial" w:cs="Arial"/>
          <w:b w:val="0"/>
          <w:bCs/>
          <w:szCs w:val="24"/>
          <w:highlight w:val="none"/>
        </w:rPr>
        <w:t>Г. материалы не могут быть отнесены к служебной информации ограниченного распространения, поскольку раскрытие или недопустимость ограничения доступа к сведениям, содержащимся в рассматриваемых материалах, установлена федеральным(и) законом(ами) Российской Федерации</w:t>
      </w:r>
      <w:r>
        <w:rPr>
          <w:rFonts w:ascii="Arial" w:hAnsi="Arial" w:cs="Arial"/>
          <w:b w:val="0"/>
          <w:bCs/>
          <w:i/>
          <w:iCs/>
          <w:szCs w:val="24"/>
          <w:highlight w:val="none"/>
        </w:rPr>
        <w:t xml:space="preserve"> (указывается ссылка на федеральный закон, вид: пункт, статья, Федеральный закон «Наименование», номер, дата подписания)</w:t>
      </w:r>
      <w:r>
        <w:rPr>
          <w:rFonts w:ascii="Arial" w:hAnsi="Arial" w:cs="Arial"/>
          <w:b w:val="0"/>
          <w:bCs/>
          <w:szCs w:val="24"/>
          <w:highlight w:val="none"/>
        </w:rPr>
        <w:t>.</w:t>
      </w:r>
    </w:p>
    <w:p>
      <w:pPr>
        <w:jc w:val="both"/>
        <w:rPr>
          <w:rFonts w:ascii="Arial" w:hAnsi="Arial" w:cs="Arial"/>
          <w:b w:val="0"/>
          <w:bCs/>
          <w:sz w:val="18"/>
          <w:szCs w:val="18"/>
          <w:highlight w:val="none"/>
        </w:rPr>
      </w:pPr>
      <w:r>
        <w:rPr>
          <w:rFonts w:ascii="Arial" w:hAnsi="Arial" w:cs="Arial"/>
          <w:b w:val="0"/>
          <w:bCs/>
          <w:sz w:val="18"/>
          <w:szCs w:val="18"/>
          <w:highlight w:val="none"/>
        </w:rPr>
        <w:tab/>
      </w:r>
      <w:r>
        <w:rPr>
          <w:rFonts w:ascii="Arial" w:hAnsi="Arial" w:cs="Arial"/>
          <w:b w:val="0"/>
          <w:bCs/>
          <w:sz w:val="18"/>
          <w:szCs w:val="18"/>
          <w:highlight w:val="none"/>
        </w:rPr>
        <w:tab/>
      </w:r>
      <w:r>
        <w:rPr>
          <w:rFonts w:ascii="Arial" w:hAnsi="Arial" w:cs="Arial"/>
          <w:b w:val="0"/>
          <w:bCs/>
          <w:sz w:val="18"/>
          <w:szCs w:val="18"/>
          <w:highlight w:val="none"/>
        </w:rPr>
        <w:tab/>
      </w:r>
    </w:p>
    <w:p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Руководитель-эксперт:</w:t>
      </w:r>
    </w:p>
    <w:tbl>
      <w:tblPr>
        <w:tblStyle w:val="37"/>
        <w:tblW w:w="9056" w:type="dxa"/>
        <w:jc w:val="center"/>
        <w:tblLayout w:type="fixed"/>
        <w:tblCellMar>
          <w:top w:w="0" w:type="dxa"/>
          <w:left w:w="115" w:type="dxa"/>
          <w:bottom w:w="0" w:type="dxa"/>
          <w:right w:w="115" w:type="dxa"/>
        </w:tblCellMar>
      </w:tblPr>
      <w:tblGrid>
        <w:gridCol w:w="3745"/>
        <w:gridCol w:w="270"/>
        <w:gridCol w:w="2069"/>
        <w:gridCol w:w="250"/>
        <w:gridCol w:w="2722"/>
      </w:tblGrid>
      <w:tr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20" w:hRule="atLeast"/>
          <w:jc w:val="center"/>
        </w:trPr>
        <w:tc>
          <w:tcPr>
            <w:tcW w:w="3745" w:type="dxa"/>
            <w:tcBorders>
              <w:top w:val="nil"/>
              <w:left w:val="nil"/>
              <w:bottom w:val="single" w:color="000000" w:sz="4" w:space="0"/>
              <w:right w:val="nil"/>
            </w:tcBorders>
            <w:vAlign w:val="bottom"/>
          </w:tcPr>
          <w:p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70" w:type="dxa"/>
            <w:vAlign w:val="bottom"/>
          </w:tcPr>
          <w:p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single" w:color="000000" w:sz="4" w:space="0"/>
              <w:right w:val="nil"/>
            </w:tcBorders>
            <w:vAlign w:val="bottom"/>
          </w:tcPr>
          <w:p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0" w:type="dxa"/>
            <w:vAlign w:val="bottom"/>
          </w:tcPr>
          <w:p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722" w:type="dxa"/>
            <w:tcBorders>
              <w:top w:val="nil"/>
              <w:left w:val="nil"/>
              <w:bottom w:val="single" w:color="000000" w:sz="4" w:space="0"/>
              <w:right w:val="nil"/>
            </w:tcBorders>
            <w:vAlign w:val="bottom"/>
          </w:tcPr>
          <w:p>
            <w:pPr>
              <w:jc w:val="center"/>
              <w:rPr>
                <w:rFonts w:ascii="Arial" w:hAnsi="Arial" w:cs="Arial"/>
              </w:rPr>
            </w:pPr>
          </w:p>
        </w:tc>
      </w:tr>
      <w:tr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20" w:hRule="atLeast"/>
          <w:jc w:val="center"/>
        </w:trPr>
        <w:tc>
          <w:tcPr>
            <w:tcW w:w="3745" w:type="dxa"/>
            <w:tcBorders>
              <w:top w:val="single" w:color="000000" w:sz="4" w:space="0"/>
              <w:left w:val="nil"/>
              <w:bottom w:val="nil"/>
              <w:right w:val="nil"/>
            </w:tcBorders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(должность)</w:t>
            </w:r>
          </w:p>
        </w:tc>
        <w:tc>
          <w:tcPr>
            <w:tcW w:w="270" w:type="dxa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69" w:type="dxa"/>
            <w:tcBorders>
              <w:top w:val="single" w:color="000000" w:sz="4" w:space="0"/>
              <w:left w:val="nil"/>
              <w:bottom w:val="nil"/>
              <w:right w:val="nil"/>
            </w:tcBorders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(подпись)</w:t>
            </w:r>
          </w:p>
        </w:tc>
        <w:tc>
          <w:tcPr>
            <w:tcW w:w="250" w:type="dxa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color="000000" w:sz="4" w:space="0"/>
              <w:left w:val="nil"/>
              <w:bottom w:val="nil"/>
              <w:right w:val="nil"/>
            </w:tcBorders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(инициалы, фамилия) </w:t>
            </w:r>
          </w:p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</w:t>
      </w:r>
    </w:p>
    <w:p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Эксперт(ы):</w:t>
      </w:r>
    </w:p>
    <w:tbl>
      <w:tblPr>
        <w:tblStyle w:val="37"/>
        <w:tblW w:w="9056" w:type="dxa"/>
        <w:jc w:val="center"/>
        <w:tblLayout w:type="fixed"/>
        <w:tblCellMar>
          <w:top w:w="0" w:type="dxa"/>
          <w:left w:w="115" w:type="dxa"/>
          <w:bottom w:w="0" w:type="dxa"/>
          <w:right w:w="115" w:type="dxa"/>
        </w:tblCellMar>
      </w:tblPr>
      <w:tblGrid>
        <w:gridCol w:w="3745"/>
        <w:gridCol w:w="270"/>
        <w:gridCol w:w="2069"/>
        <w:gridCol w:w="250"/>
        <w:gridCol w:w="2722"/>
      </w:tblGrid>
      <w:tr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20" w:hRule="atLeast"/>
          <w:jc w:val="center"/>
        </w:trPr>
        <w:tc>
          <w:tcPr>
            <w:tcW w:w="3745" w:type="dxa"/>
            <w:tcBorders>
              <w:top w:val="nil"/>
              <w:left w:val="nil"/>
              <w:bottom w:val="single" w:color="000000" w:sz="4" w:space="0"/>
              <w:right w:val="nil"/>
            </w:tcBorders>
            <w:vAlign w:val="bottom"/>
          </w:tcPr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</w:rPr>
              <w:t xml:space="preserve">           </w:t>
            </w:r>
          </w:p>
        </w:tc>
        <w:tc>
          <w:tcPr>
            <w:tcW w:w="270" w:type="dxa"/>
            <w:vAlign w:val="bottom"/>
          </w:tcPr>
          <w:p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single" w:color="000000" w:sz="4" w:space="0"/>
              <w:right w:val="nil"/>
            </w:tcBorders>
            <w:vAlign w:val="bottom"/>
          </w:tcPr>
          <w:p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0" w:type="dxa"/>
            <w:vAlign w:val="bottom"/>
          </w:tcPr>
          <w:p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722" w:type="dxa"/>
            <w:tcBorders>
              <w:top w:val="nil"/>
              <w:left w:val="nil"/>
              <w:bottom w:val="single" w:color="000000" w:sz="4" w:space="0"/>
              <w:right w:val="nil"/>
            </w:tcBorders>
            <w:vAlign w:val="bottom"/>
          </w:tcPr>
          <w:p>
            <w:pPr>
              <w:jc w:val="center"/>
              <w:rPr>
                <w:rFonts w:ascii="Arial" w:hAnsi="Arial" w:cs="Arial"/>
              </w:rPr>
            </w:pPr>
          </w:p>
        </w:tc>
      </w:tr>
      <w:tr>
        <w:trPr>
          <w:trHeight w:val="20" w:hRule="atLeast"/>
          <w:jc w:val="center"/>
        </w:trPr>
        <w:tc>
          <w:tcPr>
            <w:tcW w:w="3745" w:type="dxa"/>
            <w:tcBorders>
              <w:top w:val="single" w:color="000000" w:sz="4" w:space="0"/>
              <w:left w:val="nil"/>
              <w:bottom w:val="nil"/>
              <w:right w:val="nil"/>
            </w:tcBorders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(должность)</w:t>
            </w:r>
          </w:p>
        </w:tc>
        <w:tc>
          <w:tcPr>
            <w:tcW w:w="270" w:type="dxa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69" w:type="dxa"/>
            <w:tcBorders>
              <w:top w:val="single" w:color="000000" w:sz="4" w:space="0"/>
              <w:left w:val="nil"/>
              <w:bottom w:val="nil"/>
              <w:right w:val="nil"/>
            </w:tcBorders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(подпись)</w:t>
            </w:r>
          </w:p>
        </w:tc>
        <w:tc>
          <w:tcPr>
            <w:tcW w:w="250" w:type="dxa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color="000000" w:sz="4" w:space="0"/>
              <w:left w:val="nil"/>
              <w:bottom w:val="nil"/>
              <w:right w:val="nil"/>
            </w:tcBorders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(инициалы, фамилия) </w:t>
            </w:r>
          </w:p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20" w:hRule="atLeast"/>
          <w:jc w:val="center"/>
        </w:trPr>
        <w:tc>
          <w:tcPr>
            <w:tcW w:w="3745" w:type="dxa"/>
            <w:tcBorders>
              <w:top w:val="nil"/>
              <w:left w:val="nil"/>
              <w:bottom w:val="single" w:color="000000" w:sz="4" w:space="0"/>
              <w:right w:val="nil"/>
            </w:tcBorders>
            <w:vAlign w:val="bottom"/>
          </w:tcPr>
          <w:p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70" w:type="dxa"/>
            <w:vAlign w:val="bottom"/>
          </w:tcPr>
          <w:p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single" w:color="000000" w:sz="4" w:space="0"/>
              <w:right w:val="nil"/>
            </w:tcBorders>
            <w:vAlign w:val="bottom"/>
          </w:tcPr>
          <w:p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0" w:type="dxa"/>
            <w:vAlign w:val="bottom"/>
          </w:tcPr>
          <w:p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722" w:type="dxa"/>
            <w:tcBorders>
              <w:top w:val="nil"/>
              <w:left w:val="nil"/>
              <w:bottom w:val="single" w:color="000000" w:sz="4" w:space="0"/>
              <w:right w:val="nil"/>
            </w:tcBorders>
            <w:vAlign w:val="bottom"/>
          </w:tcPr>
          <w:p>
            <w:pPr>
              <w:jc w:val="center"/>
              <w:rPr>
                <w:rFonts w:ascii="Arial" w:hAnsi="Arial" w:cs="Arial"/>
              </w:rPr>
            </w:pPr>
          </w:p>
        </w:tc>
      </w:tr>
      <w:tr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20" w:hRule="atLeast"/>
          <w:jc w:val="center"/>
        </w:trPr>
        <w:tc>
          <w:tcPr>
            <w:tcW w:w="3745" w:type="dxa"/>
            <w:tcBorders>
              <w:top w:val="single" w:color="000000" w:sz="4" w:space="0"/>
              <w:left w:val="nil"/>
              <w:bottom w:val="nil"/>
              <w:right w:val="nil"/>
            </w:tcBorders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(должность)</w:t>
            </w:r>
          </w:p>
        </w:tc>
        <w:tc>
          <w:tcPr>
            <w:tcW w:w="270" w:type="dxa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69" w:type="dxa"/>
            <w:tcBorders>
              <w:top w:val="single" w:color="000000" w:sz="4" w:space="0"/>
              <w:left w:val="nil"/>
              <w:bottom w:val="nil"/>
              <w:right w:val="nil"/>
            </w:tcBorders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(подпись)</w:t>
            </w:r>
          </w:p>
        </w:tc>
        <w:tc>
          <w:tcPr>
            <w:tcW w:w="250" w:type="dxa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color="000000" w:sz="4" w:space="0"/>
              <w:left w:val="nil"/>
              <w:bottom w:val="nil"/>
              <w:right w:val="nil"/>
            </w:tcBorders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(инициалы, фамилия) </w:t>
            </w:r>
          </w:p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>
      <w:pPr>
        <w:rPr>
          <w:rFonts w:ascii="Arial" w:hAnsi="Arial" w:cs="Arial"/>
          <w:sz w:val="20"/>
        </w:rPr>
      </w:pPr>
    </w:p>
    <w:p>
      <w:pPr>
        <w:ind w:firstLine="708"/>
        <w:jc w:val="both"/>
        <w:rPr>
          <w:rStyle w:val="9"/>
          <w:rFonts w:ascii="Arial" w:hAnsi="Arial" w:cs="Arial"/>
          <w:sz w:val="21"/>
          <w:szCs w:val="21"/>
        </w:rPr>
      </w:pPr>
    </w:p>
    <w:sectPr>
      <w:footerReference r:id="rId4" w:type="first"/>
      <w:footerReference r:id="rId3" w:type="default"/>
      <w:pgSz w:w="11906" w:h="16838"/>
      <w:pgMar w:top="1134" w:right="851" w:bottom="1134" w:left="1134" w:header="709" w:footer="709" w:gutter="0"/>
      <w:cols w:space="708" w:num="1"/>
      <w:titlePg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Liberation Serif">
    <w:altName w:val="Times New Roman"/>
    <w:panose1 w:val="00000000000000000000"/>
    <w:charset w:val="00"/>
    <w:family w:val="roman"/>
    <w:pitch w:val="default"/>
    <w:sig w:usb0="00000000" w:usb1="00000000" w:usb2="00000000" w:usb3="00000000" w:csb0="00000005" w:csb1="00000000"/>
  </w:font>
  <w:font w:name="Droid Sans Fallback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reeSans">
    <w:altName w:val="Arial"/>
    <w:panose1 w:val="00000000000000000000"/>
    <w:charset w:val="00"/>
    <w:family w:val="swiss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623768664"/>
    </w:sdtPr>
    <w:sdtContent>
      <w:p>
        <w:pPr>
          <w:pStyle w:val="14"/>
          <w:jc w:val="right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>
    <w:pPr>
      <w:pStyle w:val="1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4"/>
      <w:jc w:val="both"/>
      <w:rPr>
        <w:rFonts w:ascii="Arial" w:hAnsi="Arial" w:cs="Arial"/>
        <w:sz w:val="16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multilevel"/>
    <w:tmpl w:val="00000001"/>
    <w:lvl w:ilvl="0" w:tentative="0">
      <w:start w:val="1"/>
      <w:numFmt w:val="none"/>
      <w:suff w:val="nothing"/>
      <w:lvlText w:val=""/>
      <w:lvlJc w:val="left"/>
      <w:pPr>
        <w:tabs>
          <w:tab w:val="left" w:pos="432"/>
        </w:tabs>
        <w:ind w:left="432" w:hanging="432"/>
      </w:pPr>
    </w:lvl>
    <w:lvl w:ilvl="1" w:tentative="0">
      <w:start w:val="1"/>
      <w:numFmt w:val="none"/>
      <w:pStyle w:val="3"/>
      <w:suff w:val="nothing"/>
      <w:lvlText w:val=""/>
      <w:lvlJc w:val="left"/>
      <w:pPr>
        <w:tabs>
          <w:tab w:val="left" w:pos="576"/>
        </w:tabs>
        <w:ind w:left="576" w:hanging="576"/>
      </w:pPr>
    </w:lvl>
    <w:lvl w:ilvl="2" w:tentative="0">
      <w:start w:val="1"/>
      <w:numFmt w:val="none"/>
      <w:suff w:val="nothing"/>
      <w:lvlText w:val=""/>
      <w:lvlJc w:val="left"/>
      <w:pPr>
        <w:tabs>
          <w:tab w:val="left" w:pos="720"/>
        </w:tabs>
        <w:ind w:left="720" w:hanging="720"/>
      </w:pPr>
    </w:lvl>
    <w:lvl w:ilvl="3" w:tentative="0">
      <w:start w:val="1"/>
      <w:numFmt w:val="none"/>
      <w:suff w:val="nothing"/>
      <w:lvlText w:val=""/>
      <w:lvlJc w:val="left"/>
      <w:pPr>
        <w:tabs>
          <w:tab w:val="left" w:pos="864"/>
        </w:tabs>
        <w:ind w:left="864" w:hanging="864"/>
      </w:pPr>
    </w:lvl>
    <w:lvl w:ilvl="4" w:tentative="0">
      <w:start w:val="1"/>
      <w:numFmt w:val="none"/>
      <w:suff w:val="nothing"/>
      <w:lvlText w:val=""/>
      <w:lvlJc w:val="left"/>
      <w:pPr>
        <w:tabs>
          <w:tab w:val="left" w:pos="1008"/>
        </w:tabs>
        <w:ind w:left="1008" w:hanging="1008"/>
      </w:pPr>
    </w:lvl>
    <w:lvl w:ilvl="5" w:tentative="0">
      <w:start w:val="1"/>
      <w:numFmt w:val="none"/>
      <w:suff w:val="nothing"/>
      <w:lvlText w:val=""/>
      <w:lvlJc w:val="left"/>
      <w:pPr>
        <w:tabs>
          <w:tab w:val="left" w:pos="1152"/>
        </w:tabs>
        <w:ind w:left="1152" w:hanging="1152"/>
      </w:pPr>
    </w:lvl>
    <w:lvl w:ilvl="6" w:tentative="0">
      <w:start w:val="1"/>
      <w:numFmt w:val="none"/>
      <w:suff w:val="nothing"/>
      <w:lvlText w:val=""/>
      <w:lvlJc w:val="left"/>
      <w:pPr>
        <w:tabs>
          <w:tab w:val="left" w:pos="1296"/>
        </w:tabs>
        <w:ind w:left="1296" w:hanging="1296"/>
      </w:pPr>
    </w:lvl>
    <w:lvl w:ilvl="7" w:tentative="0">
      <w:start w:val="1"/>
      <w:numFmt w:val="none"/>
      <w:suff w:val="nothing"/>
      <w:lvlText w:val=""/>
      <w:lvlJc w:val="left"/>
      <w:pPr>
        <w:tabs>
          <w:tab w:val="left" w:pos="1440"/>
        </w:tabs>
        <w:ind w:left="1440" w:hanging="1440"/>
      </w:pPr>
    </w:lvl>
    <w:lvl w:ilvl="8" w:tentative="0">
      <w:start w:val="1"/>
      <w:numFmt w:val="none"/>
      <w:suff w:val="nothing"/>
      <w:lvlText w:val=""/>
      <w:lvlJc w:val="left"/>
      <w:pPr>
        <w:tabs>
          <w:tab w:val="left" w:pos="1584"/>
        </w:tabs>
        <w:ind w:left="1584" w:hanging="1584"/>
      </w:pPr>
    </w:lvl>
  </w:abstractNum>
  <w:abstractNum w:abstractNumId="1">
    <w:nsid w:val="1BBFAA3B"/>
    <w:multiLevelType w:val="multilevel"/>
    <w:tmpl w:val="1BBFAA3B"/>
    <w:lvl w:ilvl="0" w:tentative="0">
      <w:start w:val="1"/>
      <w:numFmt w:val="decimal"/>
      <w:suff w:val="space"/>
      <w:lvlText w:val="%1."/>
      <w:lvlJc w:val="left"/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  <w:rPr>
        <w:rFonts w:hint="default"/>
      </w:rPr>
    </w:lvl>
    <w:lvl w:ilvl="2" w:tentative="0">
      <w:start w:val="1"/>
      <w:numFmt w:val="lowerRoman"/>
      <w:lvlText w:val="%3."/>
      <w:lvlJc w:val="left"/>
      <w:pPr>
        <w:tabs>
          <w:tab w:val="left" w:pos="1260"/>
        </w:tabs>
        <w:ind w:left="1260" w:hanging="42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  <w:rPr>
        <w:rFonts w:hint="default"/>
      </w:r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  <w:rPr>
        <w:rFonts w:hint="default"/>
      </w:rPr>
    </w:lvl>
    <w:lvl w:ilvl="5" w:tentative="0">
      <w:start w:val="1"/>
      <w:numFmt w:val="lowerRoman"/>
      <w:lvlText w:val="%6."/>
      <w:lvlJc w:val="left"/>
      <w:pPr>
        <w:tabs>
          <w:tab w:val="left" w:pos="2520"/>
        </w:tabs>
        <w:ind w:left="2520" w:hanging="42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  <w:rPr>
        <w:rFonts w:hint="default"/>
      </w:r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  <w:rPr>
        <w:rFonts w:hint="default"/>
      </w:rPr>
    </w:lvl>
    <w:lvl w:ilvl="8" w:tentative="0">
      <w:start w:val="1"/>
      <w:numFmt w:val="lowerRoman"/>
      <w:lvlText w:val="%9."/>
      <w:lvlJc w:val="left"/>
      <w:pPr>
        <w:tabs>
          <w:tab w:val="left" w:pos="3780"/>
        </w:tabs>
        <w:ind w:left="3780" w:hanging="42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71B"/>
    <w:rsid w:val="00000DAF"/>
    <w:rsid w:val="000059F7"/>
    <w:rsid w:val="00007ED3"/>
    <w:rsid w:val="000134C0"/>
    <w:rsid w:val="0001749E"/>
    <w:rsid w:val="000360C9"/>
    <w:rsid w:val="00037D8F"/>
    <w:rsid w:val="00045316"/>
    <w:rsid w:val="0005316F"/>
    <w:rsid w:val="00053338"/>
    <w:rsid w:val="000621E2"/>
    <w:rsid w:val="00072524"/>
    <w:rsid w:val="00096C16"/>
    <w:rsid w:val="000A1FFD"/>
    <w:rsid w:val="000A485D"/>
    <w:rsid w:val="000A4930"/>
    <w:rsid w:val="000A5795"/>
    <w:rsid w:val="000C0443"/>
    <w:rsid w:val="000C7613"/>
    <w:rsid w:val="000D15BB"/>
    <w:rsid w:val="000E3047"/>
    <w:rsid w:val="000F7A3B"/>
    <w:rsid w:val="000F7C0C"/>
    <w:rsid w:val="0010638D"/>
    <w:rsid w:val="00110DEF"/>
    <w:rsid w:val="00114603"/>
    <w:rsid w:val="00114705"/>
    <w:rsid w:val="00123C6C"/>
    <w:rsid w:val="00124F41"/>
    <w:rsid w:val="00147AF8"/>
    <w:rsid w:val="00153F17"/>
    <w:rsid w:val="00153F19"/>
    <w:rsid w:val="0015687D"/>
    <w:rsid w:val="00160563"/>
    <w:rsid w:val="00162831"/>
    <w:rsid w:val="00164CA1"/>
    <w:rsid w:val="00166A43"/>
    <w:rsid w:val="001760B0"/>
    <w:rsid w:val="001933C0"/>
    <w:rsid w:val="00193C9E"/>
    <w:rsid w:val="00194F69"/>
    <w:rsid w:val="001971CA"/>
    <w:rsid w:val="001A3B77"/>
    <w:rsid w:val="001A6E3A"/>
    <w:rsid w:val="001A79F3"/>
    <w:rsid w:val="001B091B"/>
    <w:rsid w:val="001B401F"/>
    <w:rsid w:val="001C61BB"/>
    <w:rsid w:val="001E236D"/>
    <w:rsid w:val="001E7CF4"/>
    <w:rsid w:val="001F675D"/>
    <w:rsid w:val="001F7666"/>
    <w:rsid w:val="00214F4E"/>
    <w:rsid w:val="00216BBE"/>
    <w:rsid w:val="002250C6"/>
    <w:rsid w:val="00235BFE"/>
    <w:rsid w:val="002540A1"/>
    <w:rsid w:val="00260EB4"/>
    <w:rsid w:val="00262AFF"/>
    <w:rsid w:val="00270803"/>
    <w:rsid w:val="00273E8D"/>
    <w:rsid w:val="002816F0"/>
    <w:rsid w:val="00296204"/>
    <w:rsid w:val="002A2648"/>
    <w:rsid w:val="002A6033"/>
    <w:rsid w:val="002A6665"/>
    <w:rsid w:val="002A6C75"/>
    <w:rsid w:val="002B0E81"/>
    <w:rsid w:val="002B2645"/>
    <w:rsid w:val="002B577A"/>
    <w:rsid w:val="002C474B"/>
    <w:rsid w:val="002C6B1F"/>
    <w:rsid w:val="002C7622"/>
    <w:rsid w:val="002D0F76"/>
    <w:rsid w:val="002D73A8"/>
    <w:rsid w:val="002F57D9"/>
    <w:rsid w:val="00300C37"/>
    <w:rsid w:val="00300F50"/>
    <w:rsid w:val="00301E6C"/>
    <w:rsid w:val="0030510B"/>
    <w:rsid w:val="003123CF"/>
    <w:rsid w:val="003319B6"/>
    <w:rsid w:val="00334143"/>
    <w:rsid w:val="00341AAA"/>
    <w:rsid w:val="00345D77"/>
    <w:rsid w:val="00347C9D"/>
    <w:rsid w:val="003570FE"/>
    <w:rsid w:val="00363B40"/>
    <w:rsid w:val="00363B7D"/>
    <w:rsid w:val="00367187"/>
    <w:rsid w:val="003753E4"/>
    <w:rsid w:val="00381503"/>
    <w:rsid w:val="003907A3"/>
    <w:rsid w:val="00394F3A"/>
    <w:rsid w:val="00397629"/>
    <w:rsid w:val="003B4BE7"/>
    <w:rsid w:val="003C0D70"/>
    <w:rsid w:val="003D069A"/>
    <w:rsid w:val="003D32C6"/>
    <w:rsid w:val="003D53FB"/>
    <w:rsid w:val="003D6718"/>
    <w:rsid w:val="003E53DD"/>
    <w:rsid w:val="003E6EE1"/>
    <w:rsid w:val="003E7026"/>
    <w:rsid w:val="004153CE"/>
    <w:rsid w:val="0041670B"/>
    <w:rsid w:val="004174F3"/>
    <w:rsid w:val="00426317"/>
    <w:rsid w:val="00426DA1"/>
    <w:rsid w:val="00432413"/>
    <w:rsid w:val="00436466"/>
    <w:rsid w:val="00445BFD"/>
    <w:rsid w:val="00446DDD"/>
    <w:rsid w:val="00457995"/>
    <w:rsid w:val="00464E76"/>
    <w:rsid w:val="00470AA1"/>
    <w:rsid w:val="004806E2"/>
    <w:rsid w:val="0049128E"/>
    <w:rsid w:val="00492EC4"/>
    <w:rsid w:val="004B09E5"/>
    <w:rsid w:val="004B56DC"/>
    <w:rsid w:val="004C017E"/>
    <w:rsid w:val="004D165C"/>
    <w:rsid w:val="004D3C02"/>
    <w:rsid w:val="004E210D"/>
    <w:rsid w:val="004E67A0"/>
    <w:rsid w:val="004F52E0"/>
    <w:rsid w:val="004F7750"/>
    <w:rsid w:val="004F79F8"/>
    <w:rsid w:val="00512E81"/>
    <w:rsid w:val="005145B8"/>
    <w:rsid w:val="005206A2"/>
    <w:rsid w:val="00521877"/>
    <w:rsid w:val="005319FB"/>
    <w:rsid w:val="005521F8"/>
    <w:rsid w:val="0057027A"/>
    <w:rsid w:val="0057226E"/>
    <w:rsid w:val="005818BD"/>
    <w:rsid w:val="005846DD"/>
    <w:rsid w:val="00586EC4"/>
    <w:rsid w:val="005A7BB6"/>
    <w:rsid w:val="005B0321"/>
    <w:rsid w:val="005B23EA"/>
    <w:rsid w:val="005C3E39"/>
    <w:rsid w:val="005C57A8"/>
    <w:rsid w:val="005E3246"/>
    <w:rsid w:val="005E3512"/>
    <w:rsid w:val="005F0295"/>
    <w:rsid w:val="005F35A4"/>
    <w:rsid w:val="005F3635"/>
    <w:rsid w:val="006014CF"/>
    <w:rsid w:val="00610DA7"/>
    <w:rsid w:val="00613240"/>
    <w:rsid w:val="006133CF"/>
    <w:rsid w:val="0062539B"/>
    <w:rsid w:val="00641E35"/>
    <w:rsid w:val="006549BF"/>
    <w:rsid w:val="0065543F"/>
    <w:rsid w:val="00655E92"/>
    <w:rsid w:val="00664ACC"/>
    <w:rsid w:val="00675B4D"/>
    <w:rsid w:val="00676778"/>
    <w:rsid w:val="00694739"/>
    <w:rsid w:val="006B775D"/>
    <w:rsid w:val="006C68D2"/>
    <w:rsid w:val="006D2FE0"/>
    <w:rsid w:val="006E3917"/>
    <w:rsid w:val="006F42E6"/>
    <w:rsid w:val="006F771B"/>
    <w:rsid w:val="007069A6"/>
    <w:rsid w:val="00712A13"/>
    <w:rsid w:val="00713B6E"/>
    <w:rsid w:val="007151C0"/>
    <w:rsid w:val="00724625"/>
    <w:rsid w:val="0073151E"/>
    <w:rsid w:val="007324B1"/>
    <w:rsid w:val="00740A57"/>
    <w:rsid w:val="007456F0"/>
    <w:rsid w:val="007622F4"/>
    <w:rsid w:val="007663AB"/>
    <w:rsid w:val="0077297A"/>
    <w:rsid w:val="00773E89"/>
    <w:rsid w:val="007774F4"/>
    <w:rsid w:val="007B3E49"/>
    <w:rsid w:val="007C1188"/>
    <w:rsid w:val="007D739D"/>
    <w:rsid w:val="007D7530"/>
    <w:rsid w:val="007F5CB3"/>
    <w:rsid w:val="007F5F0F"/>
    <w:rsid w:val="008065D4"/>
    <w:rsid w:val="0081351C"/>
    <w:rsid w:val="0081495C"/>
    <w:rsid w:val="008162DA"/>
    <w:rsid w:val="00840FC4"/>
    <w:rsid w:val="008530E6"/>
    <w:rsid w:val="00854A72"/>
    <w:rsid w:val="00856A9C"/>
    <w:rsid w:val="008643D4"/>
    <w:rsid w:val="0086720E"/>
    <w:rsid w:val="00873A2A"/>
    <w:rsid w:val="008807D1"/>
    <w:rsid w:val="00880D8F"/>
    <w:rsid w:val="0088323F"/>
    <w:rsid w:val="008B1A8B"/>
    <w:rsid w:val="008B4757"/>
    <w:rsid w:val="008C7A9C"/>
    <w:rsid w:val="008D535C"/>
    <w:rsid w:val="008F28FF"/>
    <w:rsid w:val="009052AF"/>
    <w:rsid w:val="00911DC8"/>
    <w:rsid w:val="00937625"/>
    <w:rsid w:val="00946B94"/>
    <w:rsid w:val="009475AD"/>
    <w:rsid w:val="00963DAC"/>
    <w:rsid w:val="00965E4C"/>
    <w:rsid w:val="00967CAF"/>
    <w:rsid w:val="00976309"/>
    <w:rsid w:val="00985528"/>
    <w:rsid w:val="0098722F"/>
    <w:rsid w:val="00996636"/>
    <w:rsid w:val="009A51D5"/>
    <w:rsid w:val="009A645A"/>
    <w:rsid w:val="009A7D45"/>
    <w:rsid w:val="009B05E3"/>
    <w:rsid w:val="009B06C6"/>
    <w:rsid w:val="009B11DA"/>
    <w:rsid w:val="009B7F84"/>
    <w:rsid w:val="009C5F10"/>
    <w:rsid w:val="009C626A"/>
    <w:rsid w:val="009D19AF"/>
    <w:rsid w:val="009D3ACD"/>
    <w:rsid w:val="009D6620"/>
    <w:rsid w:val="009E3BDD"/>
    <w:rsid w:val="009E49AF"/>
    <w:rsid w:val="009E60E5"/>
    <w:rsid w:val="009E7058"/>
    <w:rsid w:val="00A06789"/>
    <w:rsid w:val="00A13630"/>
    <w:rsid w:val="00A23F0D"/>
    <w:rsid w:val="00A31F2E"/>
    <w:rsid w:val="00A349E6"/>
    <w:rsid w:val="00A34B6D"/>
    <w:rsid w:val="00A37646"/>
    <w:rsid w:val="00A43BD7"/>
    <w:rsid w:val="00A44E30"/>
    <w:rsid w:val="00A4589F"/>
    <w:rsid w:val="00A54EEC"/>
    <w:rsid w:val="00A62014"/>
    <w:rsid w:val="00A738D9"/>
    <w:rsid w:val="00A76DF5"/>
    <w:rsid w:val="00A87715"/>
    <w:rsid w:val="00A929B7"/>
    <w:rsid w:val="00AA30D5"/>
    <w:rsid w:val="00AA3D2C"/>
    <w:rsid w:val="00AB0DC8"/>
    <w:rsid w:val="00AD6BD9"/>
    <w:rsid w:val="00AF1462"/>
    <w:rsid w:val="00B0507A"/>
    <w:rsid w:val="00B06C04"/>
    <w:rsid w:val="00B15EBE"/>
    <w:rsid w:val="00B24E35"/>
    <w:rsid w:val="00B3278B"/>
    <w:rsid w:val="00B32E06"/>
    <w:rsid w:val="00B41E6C"/>
    <w:rsid w:val="00B430E0"/>
    <w:rsid w:val="00B4466B"/>
    <w:rsid w:val="00B475F8"/>
    <w:rsid w:val="00B52AE9"/>
    <w:rsid w:val="00B52B78"/>
    <w:rsid w:val="00B60B57"/>
    <w:rsid w:val="00B842E2"/>
    <w:rsid w:val="00B96CCB"/>
    <w:rsid w:val="00BC1127"/>
    <w:rsid w:val="00BC24AD"/>
    <w:rsid w:val="00BD401E"/>
    <w:rsid w:val="00BD5774"/>
    <w:rsid w:val="00BD6CBE"/>
    <w:rsid w:val="00BE0DB2"/>
    <w:rsid w:val="00BF04DA"/>
    <w:rsid w:val="00BF1B97"/>
    <w:rsid w:val="00BF6EDF"/>
    <w:rsid w:val="00C0354A"/>
    <w:rsid w:val="00C0378B"/>
    <w:rsid w:val="00C04645"/>
    <w:rsid w:val="00C20787"/>
    <w:rsid w:val="00C23397"/>
    <w:rsid w:val="00C249E5"/>
    <w:rsid w:val="00C24F7B"/>
    <w:rsid w:val="00C26EE6"/>
    <w:rsid w:val="00C37700"/>
    <w:rsid w:val="00C53A83"/>
    <w:rsid w:val="00C633FF"/>
    <w:rsid w:val="00C650AF"/>
    <w:rsid w:val="00C70011"/>
    <w:rsid w:val="00C72873"/>
    <w:rsid w:val="00C91E0A"/>
    <w:rsid w:val="00C92980"/>
    <w:rsid w:val="00CA342B"/>
    <w:rsid w:val="00CB0916"/>
    <w:rsid w:val="00CB22B3"/>
    <w:rsid w:val="00CB24B5"/>
    <w:rsid w:val="00CF0530"/>
    <w:rsid w:val="00D007F4"/>
    <w:rsid w:val="00D0190F"/>
    <w:rsid w:val="00D06492"/>
    <w:rsid w:val="00D07241"/>
    <w:rsid w:val="00D15014"/>
    <w:rsid w:val="00D25518"/>
    <w:rsid w:val="00D321B1"/>
    <w:rsid w:val="00D538FF"/>
    <w:rsid w:val="00D8472C"/>
    <w:rsid w:val="00D957C9"/>
    <w:rsid w:val="00DA4230"/>
    <w:rsid w:val="00DB1AB5"/>
    <w:rsid w:val="00DB6410"/>
    <w:rsid w:val="00DB73CD"/>
    <w:rsid w:val="00DC2A5E"/>
    <w:rsid w:val="00DC727A"/>
    <w:rsid w:val="00DD3D01"/>
    <w:rsid w:val="00DD3FA1"/>
    <w:rsid w:val="00DD5445"/>
    <w:rsid w:val="00DF0D1E"/>
    <w:rsid w:val="00DF5E57"/>
    <w:rsid w:val="00E03AD0"/>
    <w:rsid w:val="00E04362"/>
    <w:rsid w:val="00E04B97"/>
    <w:rsid w:val="00E17F5D"/>
    <w:rsid w:val="00E204CD"/>
    <w:rsid w:val="00E3689C"/>
    <w:rsid w:val="00E46204"/>
    <w:rsid w:val="00E739E5"/>
    <w:rsid w:val="00E74BFB"/>
    <w:rsid w:val="00E75C27"/>
    <w:rsid w:val="00E7669F"/>
    <w:rsid w:val="00E76715"/>
    <w:rsid w:val="00E76D13"/>
    <w:rsid w:val="00EA1FD0"/>
    <w:rsid w:val="00EB15AD"/>
    <w:rsid w:val="00EB3DDB"/>
    <w:rsid w:val="00EB60A0"/>
    <w:rsid w:val="00EB6105"/>
    <w:rsid w:val="00EE31E8"/>
    <w:rsid w:val="00EE6938"/>
    <w:rsid w:val="00F15767"/>
    <w:rsid w:val="00F5057B"/>
    <w:rsid w:val="00F513E8"/>
    <w:rsid w:val="00F61B84"/>
    <w:rsid w:val="00F83403"/>
    <w:rsid w:val="00F84322"/>
    <w:rsid w:val="00F85FAE"/>
    <w:rsid w:val="00F92584"/>
    <w:rsid w:val="00F950B3"/>
    <w:rsid w:val="00FC4282"/>
    <w:rsid w:val="00FC42EF"/>
    <w:rsid w:val="00FF4DA4"/>
    <w:rsid w:val="04E254C0"/>
    <w:rsid w:val="05C23F5D"/>
    <w:rsid w:val="08AA23AF"/>
    <w:rsid w:val="09066EE6"/>
    <w:rsid w:val="09CF1AA7"/>
    <w:rsid w:val="09DE7301"/>
    <w:rsid w:val="0A002BCE"/>
    <w:rsid w:val="0A1F3EE2"/>
    <w:rsid w:val="0B037A87"/>
    <w:rsid w:val="0B7218AA"/>
    <w:rsid w:val="0C4F1BEB"/>
    <w:rsid w:val="0D8B27AF"/>
    <w:rsid w:val="0DFC36AD"/>
    <w:rsid w:val="0EA578A0"/>
    <w:rsid w:val="0F7F00F1"/>
    <w:rsid w:val="0FE63947"/>
    <w:rsid w:val="0FFD5903"/>
    <w:rsid w:val="10645539"/>
    <w:rsid w:val="11513D10"/>
    <w:rsid w:val="13F672AC"/>
    <w:rsid w:val="18120B4F"/>
    <w:rsid w:val="182E0012"/>
    <w:rsid w:val="18934F2B"/>
    <w:rsid w:val="18ED07C2"/>
    <w:rsid w:val="195919B3"/>
    <w:rsid w:val="19FA0471"/>
    <w:rsid w:val="1AC6751C"/>
    <w:rsid w:val="1B1257EB"/>
    <w:rsid w:val="1CF36A6A"/>
    <w:rsid w:val="1D5232E9"/>
    <w:rsid w:val="1D821595"/>
    <w:rsid w:val="1F271BF4"/>
    <w:rsid w:val="1FC102B2"/>
    <w:rsid w:val="20593ED2"/>
    <w:rsid w:val="20711CD8"/>
    <w:rsid w:val="20D81C2D"/>
    <w:rsid w:val="215533A8"/>
    <w:rsid w:val="222F63CF"/>
    <w:rsid w:val="23452FA8"/>
    <w:rsid w:val="23AC3027"/>
    <w:rsid w:val="264717DC"/>
    <w:rsid w:val="29856562"/>
    <w:rsid w:val="2AED28A3"/>
    <w:rsid w:val="2BBA09D7"/>
    <w:rsid w:val="2C6E5020"/>
    <w:rsid w:val="2D7C3A6A"/>
    <w:rsid w:val="2DF950BB"/>
    <w:rsid w:val="31104BF6"/>
    <w:rsid w:val="33DF4EE8"/>
    <w:rsid w:val="34496D9C"/>
    <w:rsid w:val="34560999"/>
    <w:rsid w:val="3588118D"/>
    <w:rsid w:val="38EE7F12"/>
    <w:rsid w:val="3B8D018A"/>
    <w:rsid w:val="3D3305EA"/>
    <w:rsid w:val="3D7A151D"/>
    <w:rsid w:val="3E8B1285"/>
    <w:rsid w:val="3EC51715"/>
    <w:rsid w:val="3F2D1069"/>
    <w:rsid w:val="40BC3A43"/>
    <w:rsid w:val="41BE41FA"/>
    <w:rsid w:val="41DD1CCC"/>
    <w:rsid w:val="42CD2946"/>
    <w:rsid w:val="45623EA8"/>
    <w:rsid w:val="4622744D"/>
    <w:rsid w:val="47681DA6"/>
    <w:rsid w:val="47D159D4"/>
    <w:rsid w:val="47D227AD"/>
    <w:rsid w:val="4A1926BE"/>
    <w:rsid w:val="4AE508D2"/>
    <w:rsid w:val="50E23F5E"/>
    <w:rsid w:val="53EE320E"/>
    <w:rsid w:val="54630B4B"/>
    <w:rsid w:val="54C47921"/>
    <w:rsid w:val="57346FE0"/>
    <w:rsid w:val="5975743C"/>
    <w:rsid w:val="597B0EF6"/>
    <w:rsid w:val="5A154FED"/>
    <w:rsid w:val="5AF218D5"/>
    <w:rsid w:val="5B303F63"/>
    <w:rsid w:val="5B510A5B"/>
    <w:rsid w:val="5B5861F8"/>
    <w:rsid w:val="5C7A36E7"/>
    <w:rsid w:val="5CD528BD"/>
    <w:rsid w:val="5CFE467A"/>
    <w:rsid w:val="5D336677"/>
    <w:rsid w:val="5DE838E7"/>
    <w:rsid w:val="5E1831B8"/>
    <w:rsid w:val="5E441FE2"/>
    <w:rsid w:val="5E647ED1"/>
    <w:rsid w:val="6041378F"/>
    <w:rsid w:val="63FA3360"/>
    <w:rsid w:val="651144BD"/>
    <w:rsid w:val="65982E30"/>
    <w:rsid w:val="68356714"/>
    <w:rsid w:val="688356D2"/>
    <w:rsid w:val="690E4E1E"/>
    <w:rsid w:val="697B0203"/>
    <w:rsid w:val="6B2A5D00"/>
    <w:rsid w:val="6BF51E95"/>
    <w:rsid w:val="6D321474"/>
    <w:rsid w:val="6E755488"/>
    <w:rsid w:val="6F9E5FC0"/>
    <w:rsid w:val="6FD35191"/>
    <w:rsid w:val="72557B17"/>
    <w:rsid w:val="726447C6"/>
    <w:rsid w:val="733221CE"/>
    <w:rsid w:val="757407DF"/>
    <w:rsid w:val="7589009F"/>
    <w:rsid w:val="768A0573"/>
    <w:rsid w:val="76DA5057"/>
    <w:rsid w:val="7A326F58"/>
    <w:rsid w:val="7B5B45B8"/>
    <w:rsid w:val="7CBC3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semiHidden="0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qFormat="1"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widowControl w:val="0"/>
      <w:suppressAutoHyphens/>
    </w:pPr>
    <w:rPr>
      <w:rFonts w:ascii="Times New Roman" w:hAnsi="Times New Roman" w:eastAsia="Times New Roman" w:cs="Times New Roman"/>
      <w:sz w:val="24"/>
      <w:lang w:val="ru-RU" w:eastAsia="ar-SA" w:bidi="ar-SA"/>
    </w:rPr>
  </w:style>
  <w:style w:type="paragraph" w:styleId="2">
    <w:name w:val="heading 1"/>
    <w:basedOn w:val="1"/>
    <w:next w:val="1"/>
    <w:link w:val="28"/>
    <w:qFormat/>
    <w:uiPriority w:val="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2E75B6" w:themeColor="accent1" w:themeShade="BF"/>
      <w:sz w:val="28"/>
      <w:szCs w:val="28"/>
    </w:rPr>
  </w:style>
  <w:style w:type="paragraph" w:styleId="3">
    <w:name w:val="heading 2"/>
    <w:basedOn w:val="1"/>
    <w:next w:val="1"/>
    <w:link w:val="20"/>
    <w:qFormat/>
    <w:uiPriority w:val="0"/>
    <w:pPr>
      <w:keepNext/>
      <w:widowControl/>
      <w:numPr>
        <w:ilvl w:val="1"/>
        <w:numId w:val="1"/>
      </w:numPr>
      <w:suppressAutoHyphens w:val="0"/>
      <w:jc w:val="center"/>
      <w:outlineLvl w:val="1"/>
    </w:pPr>
    <w:rPr>
      <w:b/>
      <w:i/>
      <w:szCs w:val="24"/>
      <w:lang w:val="zh-CN"/>
    </w:rPr>
  </w:style>
  <w:style w:type="paragraph" w:styleId="4">
    <w:name w:val="heading 3"/>
    <w:next w:val="1"/>
    <w:link w:val="34"/>
    <w:semiHidden/>
    <w:unhideWhenUsed/>
    <w:qFormat/>
    <w:uiPriority w:val="9"/>
    <w:pPr>
      <w:spacing w:beforeAutospacing="1" w:afterAutospacing="1"/>
      <w:outlineLvl w:val="2"/>
    </w:pPr>
    <w:rPr>
      <w:rFonts w:hint="eastAsia" w:ascii="SimSun" w:hAnsi="SimSun" w:eastAsia="SimSun" w:cs="Times New Roman"/>
      <w:b/>
      <w:bCs/>
      <w:sz w:val="26"/>
      <w:szCs w:val="26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FollowedHyperlink"/>
    <w:basedOn w:val="5"/>
    <w:semiHidden/>
    <w:unhideWhenUsed/>
    <w:qFormat/>
    <w:uiPriority w:val="99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8">
    <w:name w:val="Emphasis"/>
    <w:basedOn w:val="5"/>
    <w:qFormat/>
    <w:uiPriority w:val="20"/>
    <w:rPr>
      <w:i/>
      <w:iCs/>
    </w:rPr>
  </w:style>
  <w:style w:type="character" w:styleId="9">
    <w:name w:val="Hyperlink"/>
    <w:basedOn w:val="5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0">
    <w:name w:val="HTML Code"/>
    <w:basedOn w:val="5"/>
    <w:semiHidden/>
    <w:unhideWhenUsed/>
    <w:qFormat/>
    <w:uiPriority w:val="99"/>
    <w:rPr>
      <w:rFonts w:ascii="Courier New" w:hAnsi="Courier New" w:eastAsia="Times New Roman" w:cs="Courier New"/>
      <w:sz w:val="20"/>
      <w:szCs w:val="20"/>
    </w:rPr>
  </w:style>
  <w:style w:type="paragraph" w:styleId="11">
    <w:name w:val="Balloon Text"/>
    <w:basedOn w:val="1"/>
    <w:link w:val="21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12">
    <w:name w:val="footnote text"/>
    <w:basedOn w:val="1"/>
    <w:link w:val="26"/>
    <w:unhideWhenUsed/>
    <w:qFormat/>
    <w:uiPriority w:val="99"/>
    <w:pPr>
      <w:widowControl/>
      <w:suppressAutoHyphens w:val="0"/>
    </w:pPr>
    <w:rPr>
      <w:rFonts w:ascii="Calibri" w:hAnsi="Calibri"/>
      <w:sz w:val="20"/>
      <w:lang w:eastAsia="ru-RU"/>
    </w:rPr>
  </w:style>
  <w:style w:type="paragraph" w:styleId="13">
    <w:name w:val="header"/>
    <w:basedOn w:val="1"/>
    <w:link w:val="17"/>
    <w:unhideWhenUsed/>
    <w:qFormat/>
    <w:uiPriority w:val="99"/>
    <w:pPr>
      <w:widowControl/>
      <w:tabs>
        <w:tab w:val="center" w:pos="4677"/>
        <w:tab w:val="right" w:pos="9355"/>
      </w:tabs>
      <w:suppressAutoHyphens w:val="0"/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paragraph" w:styleId="14">
    <w:name w:val="footer"/>
    <w:basedOn w:val="1"/>
    <w:link w:val="18"/>
    <w:unhideWhenUsed/>
    <w:qFormat/>
    <w:uiPriority w:val="99"/>
    <w:pPr>
      <w:widowControl/>
      <w:tabs>
        <w:tab w:val="center" w:pos="4677"/>
        <w:tab w:val="right" w:pos="9355"/>
      </w:tabs>
      <w:suppressAutoHyphens w:val="0"/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paragraph" w:styleId="15">
    <w:name w:val="Normal (Web)"/>
    <w:basedOn w:val="1"/>
    <w:unhideWhenUsed/>
    <w:qFormat/>
    <w:uiPriority w:val="99"/>
    <w:pPr>
      <w:widowControl/>
      <w:suppressAutoHyphens w:val="0"/>
      <w:spacing w:before="100" w:beforeAutospacing="1" w:after="100" w:afterAutospacing="1"/>
    </w:pPr>
    <w:rPr>
      <w:szCs w:val="24"/>
      <w:lang w:eastAsia="ru-RU"/>
    </w:rPr>
  </w:style>
  <w:style w:type="table" w:styleId="16">
    <w:name w:val="Table Grid"/>
    <w:basedOn w:val="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7">
    <w:name w:val="Верхний колонтитул Знак"/>
    <w:basedOn w:val="5"/>
    <w:link w:val="13"/>
    <w:qFormat/>
    <w:uiPriority w:val="99"/>
  </w:style>
  <w:style w:type="character" w:customStyle="1" w:styleId="18">
    <w:name w:val="Нижний колонтитул Знак"/>
    <w:basedOn w:val="5"/>
    <w:link w:val="14"/>
    <w:qFormat/>
    <w:uiPriority w:val="99"/>
  </w:style>
  <w:style w:type="paragraph" w:customStyle="1" w:styleId="19">
    <w:name w:val="Базовый"/>
    <w:qFormat/>
    <w:uiPriority w:val="0"/>
    <w:pPr>
      <w:tabs>
        <w:tab w:val="left" w:pos="720"/>
      </w:tabs>
      <w:suppressAutoHyphens/>
      <w:spacing w:after="200" w:line="276" w:lineRule="auto"/>
    </w:pPr>
    <w:rPr>
      <w:rFonts w:ascii="Times New Roman" w:hAnsi="Times New Roman" w:eastAsia="Times New Roman" w:cs="Times New Roman"/>
      <w:lang w:val="ru-RU" w:eastAsia="zh-CN" w:bidi="ar-SA"/>
    </w:rPr>
  </w:style>
  <w:style w:type="character" w:customStyle="1" w:styleId="20">
    <w:name w:val="Заголовок 2 Знак"/>
    <w:basedOn w:val="5"/>
    <w:link w:val="3"/>
    <w:qFormat/>
    <w:uiPriority w:val="0"/>
    <w:rPr>
      <w:rFonts w:ascii="Times New Roman" w:hAnsi="Times New Roman" w:eastAsia="Times New Roman" w:cs="Times New Roman"/>
      <w:b/>
      <w:i/>
      <w:sz w:val="24"/>
      <w:szCs w:val="24"/>
      <w:lang w:val="zh-CN" w:eastAsia="ar-SA"/>
    </w:rPr>
  </w:style>
  <w:style w:type="character" w:customStyle="1" w:styleId="21">
    <w:name w:val="Текст выноски Знак"/>
    <w:basedOn w:val="5"/>
    <w:link w:val="11"/>
    <w:semiHidden/>
    <w:qFormat/>
    <w:uiPriority w:val="99"/>
    <w:rPr>
      <w:rFonts w:ascii="Tahoma" w:hAnsi="Tahoma" w:eastAsia="Times New Roman" w:cs="Tahoma"/>
      <w:sz w:val="16"/>
      <w:szCs w:val="16"/>
      <w:lang w:eastAsia="ar-SA"/>
    </w:rPr>
  </w:style>
  <w:style w:type="paragraph" w:styleId="22">
    <w:name w:val="List Paragraph"/>
    <w:basedOn w:val="1"/>
    <w:qFormat/>
    <w:uiPriority w:val="34"/>
    <w:pPr>
      <w:ind w:left="720"/>
      <w:contextualSpacing/>
    </w:pPr>
  </w:style>
  <w:style w:type="character" w:customStyle="1" w:styleId="23">
    <w:name w:val="osiqxnc"/>
    <w:basedOn w:val="5"/>
    <w:qFormat/>
    <w:uiPriority w:val="0"/>
  </w:style>
  <w:style w:type="character" w:customStyle="1" w:styleId="24">
    <w:name w:val="markedcontent"/>
    <w:basedOn w:val="5"/>
    <w:qFormat/>
    <w:uiPriority w:val="0"/>
  </w:style>
  <w:style w:type="character" w:customStyle="1" w:styleId="25">
    <w:name w:val="j5lgwxa"/>
    <w:basedOn w:val="5"/>
    <w:qFormat/>
    <w:uiPriority w:val="0"/>
  </w:style>
  <w:style w:type="character" w:customStyle="1" w:styleId="26">
    <w:name w:val="Текст сноски Знак"/>
    <w:basedOn w:val="5"/>
    <w:link w:val="12"/>
    <w:qFormat/>
    <w:uiPriority w:val="99"/>
    <w:rPr>
      <w:rFonts w:ascii="Calibri" w:hAnsi="Calibri" w:eastAsia="Times New Roman" w:cs="Times New Roman"/>
      <w:sz w:val="20"/>
      <w:szCs w:val="20"/>
      <w:lang w:eastAsia="ru-RU"/>
    </w:rPr>
  </w:style>
  <w:style w:type="character" w:customStyle="1" w:styleId="27">
    <w:name w:val="hgkelc"/>
    <w:basedOn w:val="5"/>
    <w:qFormat/>
    <w:uiPriority w:val="0"/>
  </w:style>
  <w:style w:type="character" w:customStyle="1" w:styleId="28">
    <w:name w:val="Заголовок 1 Знак"/>
    <w:basedOn w:val="5"/>
    <w:link w:val="2"/>
    <w:qFormat/>
    <w:uiPriority w:val="9"/>
    <w:rPr>
      <w:rFonts w:asciiTheme="majorHAnsi" w:hAnsiTheme="majorHAnsi" w:eastAsiaTheme="majorEastAsia" w:cstheme="majorBidi"/>
      <w:b/>
      <w:bCs/>
      <w:color w:val="2E75B6" w:themeColor="accent1" w:themeShade="BF"/>
      <w:sz w:val="28"/>
      <w:szCs w:val="28"/>
      <w:lang w:eastAsia="ar-SA"/>
    </w:rPr>
  </w:style>
  <w:style w:type="character" w:customStyle="1" w:styleId="29">
    <w:name w:val="pvkfstr"/>
    <w:basedOn w:val="5"/>
    <w:qFormat/>
    <w:uiPriority w:val="0"/>
  </w:style>
  <w:style w:type="paragraph" w:customStyle="1" w:styleId="30">
    <w:name w:val="Default"/>
    <w:qFormat/>
    <w:uiPriority w:val="0"/>
    <w:pPr>
      <w:autoSpaceDE w:val="0"/>
      <w:autoSpaceDN w:val="0"/>
      <w:adjustRightInd w:val="0"/>
    </w:pPr>
    <w:rPr>
      <w:rFonts w:ascii="Cambria" w:hAnsi="Cambria" w:cs="Cambria" w:eastAsiaTheme="minorHAnsi"/>
      <w:color w:val="000000"/>
      <w:sz w:val="24"/>
      <w:szCs w:val="24"/>
      <w:lang w:val="ru-RU" w:eastAsia="en-US" w:bidi="ar-SA"/>
    </w:rPr>
  </w:style>
  <w:style w:type="character" w:customStyle="1" w:styleId="31">
    <w:name w:val="vovumrd"/>
    <w:basedOn w:val="5"/>
    <w:qFormat/>
    <w:uiPriority w:val="0"/>
  </w:style>
  <w:style w:type="paragraph" w:customStyle="1" w:styleId="32">
    <w:name w:val="Standard"/>
    <w:qFormat/>
    <w:uiPriority w:val="0"/>
    <w:pPr>
      <w:widowControl w:val="0"/>
      <w:suppressAutoHyphens/>
      <w:autoSpaceDN w:val="0"/>
      <w:textAlignment w:val="baseline"/>
    </w:pPr>
    <w:rPr>
      <w:rFonts w:ascii="Liberation Serif" w:hAnsi="Liberation Serif" w:eastAsia="Droid Sans Fallback" w:cs="FreeSans"/>
      <w:kern w:val="3"/>
      <w:sz w:val="24"/>
      <w:szCs w:val="24"/>
      <w:lang w:val="ru-RU" w:eastAsia="zh-CN" w:bidi="hi-IN"/>
    </w:rPr>
  </w:style>
  <w:style w:type="character" w:customStyle="1" w:styleId="33">
    <w:name w:val="extendedtext-short"/>
    <w:basedOn w:val="5"/>
    <w:qFormat/>
    <w:uiPriority w:val="0"/>
  </w:style>
  <w:style w:type="character" w:customStyle="1" w:styleId="34">
    <w:name w:val="Заголовок 3 Знак"/>
    <w:basedOn w:val="5"/>
    <w:link w:val="4"/>
    <w:semiHidden/>
    <w:qFormat/>
    <w:uiPriority w:val="9"/>
    <w:rPr>
      <w:rFonts w:ascii="SimSun" w:hAnsi="SimSun"/>
      <w:b/>
      <w:bCs/>
      <w:sz w:val="26"/>
      <w:szCs w:val="26"/>
      <w:lang w:val="en-US" w:eastAsia="zh-CN"/>
    </w:rPr>
  </w:style>
  <w:style w:type="table" w:customStyle="1" w:styleId="35">
    <w:name w:val="_Style 12"/>
    <w:basedOn w:val="36"/>
    <w:qFormat/>
    <w:uiPriority w:val="0"/>
    <w:tblPr>
      <w:tblCellMar>
        <w:left w:w="108" w:type="dxa"/>
        <w:right w:w="108" w:type="dxa"/>
      </w:tblCellMar>
    </w:tblPr>
  </w:style>
  <w:style w:type="table" w:customStyle="1" w:styleId="36">
    <w:name w:val="Table Normal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7">
    <w:name w:val="_Style 13"/>
    <w:basedOn w:val="36"/>
    <w:qFormat/>
    <w:uiPriority w:val="0"/>
    <w:tblPr>
      <w:tblCellMar>
        <w:left w:w="115" w:type="dxa"/>
        <w:right w:w="115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741B38-3F40-408B-8D92-D02E69AA94A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SPecialiST RePack</Company>
  <Pages>1</Pages>
  <Words>1769</Words>
  <Characters>10087</Characters>
  <Lines>84</Lines>
  <Paragraphs>23</Paragraphs>
  <TotalTime>214</TotalTime>
  <ScaleCrop>false</ScaleCrop>
  <LinksUpToDate>false</LinksUpToDate>
  <CharactersWithSpaces>11833</CharactersWithSpaces>
  <Application>WPS Office_11.2.0.11537_F1E327BC-269C-435d-A152-05C5408002CA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2017-06-15T13:48:00Z</dcterms:created>
  <dc:creator>Ivan Saushkin</dc:creator>
  <cp:lastModifiedBy>Отдел ИБ</cp:lastModifiedBy>
  <cp:lastPrinted>2023-06-30T05:16:00Z</cp:lastPrinted>
  <dcterms:modified xsi:type="dcterms:W3CDTF">2023-07-07T10:14:06Z</dcterms:modified>
  <cp:revision>208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1049-11.2.0.11537</vt:lpwstr>
  </property>
  <property fmtid="{D5CDD505-2E9C-101B-9397-08002B2CF9AE}" pid="3" name="ICV">
    <vt:lpwstr>6112166C75524472BA424A0A88A9EB00</vt:lpwstr>
  </property>
</Properties>
</file>